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Xl442"/>
        <w:suppressAutoHyphens w:val="true"/>
        <w:spacing w:beforeAutospacing="0" w:before="0" w:afterAutospacing="0" w:after="0"/>
        <w:jc w:val="center"/>
        <w:rPr>
          <w:rFonts w:ascii="Calibri" w:hAnsi="Calibri" w:eastAsia="Calibri" w:asciiTheme="minorHAnsi" w:hAnsiTheme="minorHAnsi"/>
          <w:bCs w:val="false"/>
          <w:szCs w:val="22"/>
          <w:lang w:eastAsia="en-US"/>
        </w:rPr>
      </w:pPr>
      <w:r>
        <w:rPr>
          <w:rFonts w:eastAsia="Calibri" w:ascii="Calibri" w:hAnsi="Calibri" w:asciiTheme="minorHAnsi" w:hAnsiTheme="minorHAnsi"/>
          <w:bCs w:val="false"/>
          <w:szCs w:val="22"/>
          <w:lang w:eastAsia="en-US"/>
        </w:rPr>
        <w:t>Sylabus</w:t>
      </w:r>
    </w:p>
    <w:p>
      <w:pPr>
        <w:pStyle w:val="Normal"/>
        <w:rPr>
          <w:rFonts w:ascii="Calibri" w:hAnsi="Calibri" w:asciiTheme="minorHAnsi" w:hAnsiTheme="minorHAnsi"/>
        </w:rPr>
      </w:pPr>
      <w:r>
        <w:rPr>
          <w:rFonts w:asciiTheme="minorHAnsi" w:hAnsiTheme="minorHAnsi" w:ascii="Calibri" w:hAnsi="Calibri"/>
        </w:rPr>
      </w:r>
    </w:p>
    <w:tbl>
      <w:tblPr>
        <w:tblW w:w="9960" w:type="dxa"/>
        <w:jc w:val="left"/>
        <w:tblInd w:w="108" w:type="dxa"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627"/>
        <w:gridCol w:w="507"/>
        <w:gridCol w:w="116"/>
        <w:gridCol w:w="960"/>
        <w:gridCol w:w="29"/>
        <w:gridCol w:w="592"/>
        <w:gridCol w:w="142"/>
        <w:gridCol w:w="52"/>
        <w:gridCol w:w="787"/>
        <w:gridCol w:w="11"/>
        <w:gridCol w:w="425"/>
        <w:gridCol w:w="352"/>
        <w:gridCol w:w="215"/>
        <w:gridCol w:w="573"/>
        <w:gridCol w:w="70"/>
        <w:gridCol w:w="396"/>
        <w:gridCol w:w="100"/>
        <w:gridCol w:w="567"/>
        <w:gridCol w:w="137"/>
        <w:gridCol w:w="335"/>
        <w:gridCol w:w="374"/>
        <w:gridCol w:w="87"/>
        <w:gridCol w:w="23"/>
        <w:gridCol w:w="31"/>
        <w:gridCol w:w="289"/>
        <w:gridCol w:w="695"/>
        <w:gridCol w:w="8"/>
        <w:gridCol w:w="232"/>
        <w:gridCol w:w="545"/>
        <w:gridCol w:w="675"/>
        <w:gridCol w:w="7"/>
      </w:tblGrid>
      <w:tr>
        <w:trPr>
          <w:trHeight w:val="397" w:hRule="atLeast"/>
        </w:trPr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Calibri" w:hAnsi="Calibri" w:eastAsia="Calibri" w:asciiTheme="minorHAnsi" w:hAnsiTheme="minorHAnsi"/>
                <w:sz w:val="16"/>
                <w:szCs w:val="16"/>
                <w:lang w:eastAsia="en-US"/>
              </w:rPr>
            </w:pPr>
            <w:r>
              <w:rPr>
                <w:rFonts w:eastAsia="Calibri" w:ascii="Calibri" w:hAnsi="Calibri" w:asciiTheme="minorHAnsi" w:hAnsiTheme="minorHAnsi"/>
                <w:sz w:val="16"/>
                <w:szCs w:val="16"/>
                <w:lang w:eastAsia="en-US"/>
              </w:rPr>
              <w:t>Kod przedmiotu</w:t>
            </w:r>
          </w:p>
        </w:tc>
        <w:tc>
          <w:tcPr>
            <w:tcW w:w="169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ind w:left="-113" w:right="-178" w:hanging="0"/>
              <w:rPr>
                <w:rFonts w:ascii="Calibri" w:hAnsi="Calibri" w:eastAsia="Calibri" w:asciiTheme="minorHAnsi" w:hAnsiTheme="minorHAnsi"/>
                <w:sz w:val="16"/>
                <w:szCs w:val="16"/>
                <w:lang w:eastAsia="en-US"/>
              </w:rPr>
            </w:pPr>
            <w:r>
              <w:rPr>
                <w:rFonts w:eastAsia="Calibri" w:ascii="Calibri" w:hAnsi="Calibri" w:asciiTheme="minorHAnsi" w:hAnsiTheme="minorHAnsi"/>
                <w:sz w:val="16"/>
                <w:szCs w:val="16"/>
                <w:lang w:eastAsia="en-US"/>
              </w:rPr>
              <w:t>04.5_Z1PN_Csomw0319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Calibri" w:hAnsi="Calibri" w:eastAsia="Calibri" w:asciiTheme="minorHAnsi" w:hAnsiTheme="minorHAnsi"/>
                <w:sz w:val="16"/>
                <w:szCs w:val="16"/>
                <w:lang w:eastAsia="en-US"/>
              </w:rPr>
            </w:pPr>
            <w:r>
              <w:rPr>
                <w:rFonts w:eastAsia="Calibri" w:ascii="Calibri" w:hAnsi="Calibri" w:asciiTheme="minorHAnsi" w:hAnsiTheme="minorHAnsi"/>
                <w:sz w:val="16"/>
                <w:szCs w:val="16"/>
                <w:lang w:eastAsia="en-US"/>
              </w:rPr>
              <w:t>Nazwa przedmiotu</w:t>
            </w:r>
          </w:p>
        </w:tc>
        <w:tc>
          <w:tcPr>
            <w:tcW w:w="6136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Calibri" w:hAnsi="Calibri" w:eastAsia="Calibri" w:asciiTheme="minorHAnsi" w:hAnsiTheme="minorHAnsi"/>
                <w:b/>
                <w:b/>
                <w:sz w:val="22"/>
                <w:szCs w:val="22"/>
                <w:lang w:eastAsia="en-US"/>
              </w:rPr>
            </w:pPr>
            <w:r>
              <w:rPr>
                <w:rFonts w:eastAsia="Calibri" w:ascii="Calibri" w:hAnsi="Calibri" w:asciiTheme="minorHAnsi" w:hAnsiTheme="minorHAnsi"/>
                <w:b/>
                <w:bCs/>
                <w:sz w:val="22"/>
                <w:szCs w:val="22"/>
                <w:lang w:eastAsia="en-US"/>
              </w:rPr>
              <w:t>Systemy oceniania, motywowania i wynagradzania pracowników</w:t>
            </w:r>
          </w:p>
        </w:tc>
      </w:tr>
      <w:tr>
        <w:trPr>
          <w:trHeight w:val="397" w:hRule="atLeast"/>
        </w:trPr>
        <w:tc>
          <w:tcPr>
            <w:tcW w:w="382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Calibri" w:hAnsi="Calibri" w:eastAsia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 w:asciiTheme="minorHAnsi" w:hAnsiTheme="minorHAnsi"/>
                <w:sz w:val="20"/>
                <w:szCs w:val="20"/>
                <w:lang w:eastAsia="en-US"/>
              </w:rPr>
              <w:t>Nazwa przedmiotu w języku angielskim</w:t>
            </w:r>
          </w:p>
        </w:tc>
        <w:tc>
          <w:tcPr>
            <w:tcW w:w="6136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HTMLPreformatted"/>
              <w:rPr>
                <w:rFonts w:ascii="Calibri" w:hAnsi="Calibri" w:asciiTheme="minorHAnsi" w:hAnsiTheme="minorHAnsi"/>
                <w:b/>
                <w:b/>
                <w:sz w:val="22"/>
                <w:szCs w:val="22"/>
                <w:lang w:val="en-GB"/>
              </w:rPr>
            </w:pPr>
            <w:r>
              <w:rPr>
                <w:rFonts w:ascii="Calibri" w:hAnsi="Calibri" w:asciiTheme="minorHAnsi" w:hAnsiTheme="minorHAnsi"/>
                <w:b/>
                <w:sz w:val="22"/>
                <w:szCs w:val="22"/>
                <w:lang w:val="en-US"/>
              </w:rPr>
              <w:t>Systems for evaluating, motivating and rewarding employees</w:t>
            </w:r>
          </w:p>
        </w:tc>
      </w:tr>
      <w:tr>
        <w:trPr>
          <w:trHeight w:val="397" w:hRule="atLeast"/>
        </w:trPr>
        <w:tc>
          <w:tcPr>
            <w:tcW w:w="382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Calibri" w:hAnsi="Calibri" w:eastAsia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 w:asciiTheme="minorHAnsi" w:hAnsiTheme="minorHAnsi"/>
                <w:sz w:val="20"/>
                <w:szCs w:val="20"/>
                <w:lang w:eastAsia="en-US"/>
              </w:rPr>
              <w:t>Wydział</w:t>
            </w:r>
          </w:p>
        </w:tc>
        <w:tc>
          <w:tcPr>
            <w:tcW w:w="6136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Calibri" w:hAnsi="Calibri" w:eastAsia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 w:asciiTheme="minorHAnsi" w:hAnsiTheme="minorHAnsi"/>
                <w:sz w:val="20"/>
                <w:szCs w:val="20"/>
                <w:lang w:eastAsia="en-US"/>
              </w:rPr>
              <w:t>Ekonomii i Zarządzania</w:t>
            </w:r>
          </w:p>
        </w:tc>
      </w:tr>
      <w:tr>
        <w:trPr>
          <w:trHeight w:val="397" w:hRule="atLeast"/>
        </w:trPr>
        <w:tc>
          <w:tcPr>
            <w:tcW w:w="382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Calibri" w:hAnsi="Calibri" w:eastAsia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 w:asciiTheme="minorHAnsi" w:hAnsiTheme="minorHAnsi"/>
                <w:sz w:val="20"/>
                <w:szCs w:val="20"/>
                <w:lang w:eastAsia="en-US"/>
              </w:rPr>
              <w:t>Kierunek</w:t>
            </w:r>
          </w:p>
        </w:tc>
        <w:tc>
          <w:tcPr>
            <w:tcW w:w="6136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Calibri" w:hAnsi="Calibri" w:eastAsia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 w:asciiTheme="minorHAnsi" w:hAnsiTheme="minorHAnsi"/>
                <w:sz w:val="20"/>
                <w:szCs w:val="20"/>
                <w:lang w:eastAsia="en-US"/>
              </w:rPr>
              <w:t>Zarządzanie i coaching</w:t>
            </w:r>
          </w:p>
        </w:tc>
      </w:tr>
      <w:tr>
        <w:trPr>
          <w:trHeight w:val="397" w:hRule="atLeast"/>
        </w:trPr>
        <w:tc>
          <w:tcPr>
            <w:tcW w:w="382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Calibri" w:hAnsi="Calibri" w:eastAsia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 w:asciiTheme="minorHAnsi" w:hAnsiTheme="minorHAnsi"/>
                <w:sz w:val="20"/>
                <w:szCs w:val="20"/>
                <w:lang w:eastAsia="en-US"/>
              </w:rPr>
              <w:t>Forma studiów</w:t>
            </w:r>
          </w:p>
        </w:tc>
        <w:tc>
          <w:tcPr>
            <w:tcW w:w="6136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Calibri" w:hAnsi="Calibri" w:eastAsia="Calibri" w:asciiTheme="minorHAnsi" w:hAnsiTheme="minorHAnsi"/>
                <w:b/>
                <w:b/>
                <w:sz w:val="20"/>
                <w:szCs w:val="20"/>
                <w:lang w:eastAsia="en-US"/>
              </w:rPr>
            </w:pPr>
            <w:r>
              <w:rPr>
                <w:rFonts w:eastAsia="Calibri" w:cs="Times New Roman" w:ascii="Calibri" w:hAnsi="Calibri" w:asciiTheme="minorHAnsi" w:hAnsiTheme="minorHAnsi"/>
                <w:b/>
                <w:sz w:val="20"/>
                <w:szCs w:val="20"/>
                <w:lang w:eastAsia="en-US"/>
              </w:rPr>
              <w:t>S</w:t>
            </w:r>
            <w:r>
              <w:rPr>
                <w:rFonts w:eastAsia="Calibri" w:ascii="Calibri" w:hAnsi="Calibri" w:asciiTheme="minorHAnsi" w:hAnsiTheme="minorHAnsi"/>
                <w:b/>
                <w:sz w:val="20"/>
                <w:szCs w:val="20"/>
                <w:lang w:eastAsia="en-US"/>
              </w:rPr>
              <w:t>tacjonarne</w:t>
            </w:r>
          </w:p>
        </w:tc>
      </w:tr>
      <w:tr>
        <w:trPr>
          <w:trHeight w:val="397" w:hRule="atLeast"/>
        </w:trPr>
        <w:tc>
          <w:tcPr>
            <w:tcW w:w="382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Calibri" w:hAnsi="Calibri" w:eastAsia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 w:asciiTheme="minorHAnsi" w:hAnsiTheme="minorHAnsi"/>
                <w:sz w:val="20"/>
                <w:szCs w:val="20"/>
                <w:lang w:eastAsia="en-US"/>
              </w:rPr>
              <w:t>Poziom uczenia się</w:t>
            </w:r>
          </w:p>
        </w:tc>
        <w:tc>
          <w:tcPr>
            <w:tcW w:w="6136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Calibri" w:hAnsi="Calibri" w:eastAsia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 w:asciiTheme="minorHAnsi" w:hAnsiTheme="minorHAnsi"/>
                <w:sz w:val="20"/>
                <w:szCs w:val="20"/>
                <w:lang w:eastAsia="en-US"/>
              </w:rPr>
              <w:t>I stopień</w:t>
            </w:r>
          </w:p>
        </w:tc>
      </w:tr>
      <w:tr>
        <w:trPr>
          <w:trHeight w:val="397" w:hRule="atLeast"/>
        </w:trPr>
        <w:tc>
          <w:tcPr>
            <w:tcW w:w="382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Calibri" w:hAnsi="Calibri" w:eastAsia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 w:asciiTheme="minorHAnsi" w:hAnsiTheme="minorHAnsi"/>
                <w:sz w:val="20"/>
                <w:szCs w:val="20"/>
                <w:lang w:eastAsia="en-US"/>
              </w:rPr>
              <w:t>Profil uczenia się</w:t>
            </w:r>
          </w:p>
        </w:tc>
        <w:tc>
          <w:tcPr>
            <w:tcW w:w="6136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Calibri" w:hAnsi="Calibri" w:eastAsia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 w:asciiTheme="minorHAnsi" w:hAnsiTheme="minorHAnsi"/>
                <w:sz w:val="20"/>
                <w:szCs w:val="20"/>
                <w:lang w:eastAsia="en-US"/>
              </w:rPr>
              <w:t>Praktyczny</w:t>
            </w:r>
          </w:p>
        </w:tc>
      </w:tr>
      <w:tr>
        <w:trPr>
          <w:trHeight w:val="397" w:hRule="atLeast"/>
        </w:trPr>
        <w:tc>
          <w:tcPr>
            <w:tcW w:w="382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Calibri" w:hAnsi="Calibri" w:eastAsia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 w:asciiTheme="minorHAnsi" w:hAnsiTheme="minorHAnsi"/>
                <w:sz w:val="20"/>
                <w:szCs w:val="20"/>
                <w:lang w:eastAsia="en-US"/>
              </w:rPr>
              <w:t>Przynależność do grupy przedmiotów</w:t>
            </w:r>
          </w:p>
        </w:tc>
        <w:tc>
          <w:tcPr>
            <w:tcW w:w="6136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Calibri" w:hAnsi="Calibri" w:eastAsia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 w:asciiTheme="minorHAnsi" w:hAnsiTheme="minorHAnsi"/>
                <w:sz w:val="20"/>
                <w:szCs w:val="20"/>
                <w:lang w:eastAsia="en-US"/>
              </w:rPr>
              <w:t>Do wyboru</w:t>
            </w:r>
          </w:p>
        </w:tc>
      </w:tr>
      <w:tr>
        <w:trPr>
          <w:trHeight w:val="397" w:hRule="atLeast"/>
        </w:trPr>
        <w:tc>
          <w:tcPr>
            <w:tcW w:w="382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Calibri" w:hAnsi="Calibri" w:eastAsia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 w:asciiTheme="minorHAnsi" w:hAnsiTheme="minorHAnsi"/>
                <w:sz w:val="20"/>
                <w:szCs w:val="20"/>
                <w:lang w:eastAsia="en-US"/>
              </w:rPr>
              <w:t>Przedmioty do wyboru w zakresie</w:t>
            </w:r>
          </w:p>
        </w:tc>
        <w:tc>
          <w:tcPr>
            <w:tcW w:w="6136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Calibri" w:hAnsi="Calibri" w:eastAsia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 w:asciiTheme="minorHAnsi" w:hAnsiTheme="minorHAnsi"/>
                <w:sz w:val="20"/>
                <w:szCs w:val="20"/>
                <w:lang w:eastAsia="en-US"/>
              </w:rPr>
              <w:t>Zarządzanie zasobami ludzkimi</w:t>
            </w:r>
          </w:p>
        </w:tc>
      </w:tr>
      <w:tr>
        <w:trPr>
          <w:trHeight w:val="397" w:hRule="atLeast"/>
        </w:trPr>
        <w:tc>
          <w:tcPr>
            <w:tcW w:w="382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Style w:val="Domylnaczcionkaakapitu1"/>
                <w:rFonts w:ascii="Calibri" w:hAnsi="Calibri" w:eastAsia="Calibri" w:cs="Verdana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 w:asciiTheme="minorHAnsi" w:hAnsiTheme="minorHAnsi"/>
                <w:sz w:val="20"/>
                <w:szCs w:val="20"/>
                <w:lang w:eastAsia="en-US"/>
              </w:rPr>
              <w:t>Osoba odpowiedzialna za przedmiot</w:t>
            </w:r>
          </w:p>
        </w:tc>
        <w:tc>
          <w:tcPr>
            <w:tcW w:w="6136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Calibri" w:hAnsi="Calibri" w:eastAsia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 w:asciiTheme="minorHAnsi" w:hAnsiTheme="minorHAnsi"/>
                <w:sz w:val="20"/>
                <w:szCs w:val="20"/>
                <w:lang w:eastAsia="en-US"/>
              </w:rPr>
              <w:t>dr inż. Marcin Kłak</w:t>
            </w:r>
          </w:p>
        </w:tc>
      </w:tr>
      <w:tr>
        <w:trPr>
          <w:trHeight w:val="397" w:hRule="atLeast"/>
        </w:trPr>
        <w:tc>
          <w:tcPr>
            <w:tcW w:w="382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Calibri" w:hAnsi="Calibri" w:eastAsia="Calibri" w:cs="Verdana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 w:asciiTheme="minorHAnsi" w:hAnsiTheme="minorHAnsi"/>
                <w:sz w:val="20"/>
                <w:szCs w:val="20"/>
                <w:lang w:eastAsia="en-US"/>
              </w:rPr>
              <w:t>Osoby prowadzące zajęcia</w:t>
            </w:r>
          </w:p>
        </w:tc>
        <w:tc>
          <w:tcPr>
            <w:tcW w:w="6136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Zawartotabeli"/>
              <w:snapToGrid w:val="false"/>
              <w:spacing w:lineRule="auto" w:line="240"/>
              <w:rPr>
                <w:rFonts w:ascii="Calibri" w:hAnsi="Calibri" w:eastAsia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 w:asciiTheme="minorHAnsi" w:hAnsiTheme="minorHAnsi"/>
                <w:sz w:val="20"/>
                <w:szCs w:val="20"/>
                <w:lang w:eastAsia="en-US"/>
              </w:rPr>
              <w:t>dr inż. Marcin Kłak</w:t>
            </w:r>
          </w:p>
        </w:tc>
      </w:tr>
      <w:tr>
        <w:trPr>
          <w:trHeight w:val="288" w:hRule="atLeast"/>
          <w:cantSplit w:val="true"/>
        </w:trPr>
        <w:tc>
          <w:tcPr>
            <w:tcW w:w="2831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Calibri" w:hAnsi="Calibri" w:eastAsia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 w:asciiTheme="minorHAnsi" w:hAnsiTheme="minorHAnsi"/>
                <w:sz w:val="20"/>
                <w:szCs w:val="20"/>
                <w:lang w:eastAsia="en-US"/>
              </w:rPr>
              <w:t>Forma prowadzenia zajęć</w:t>
            </w:r>
          </w:p>
        </w:tc>
        <w:tc>
          <w:tcPr>
            <w:tcW w:w="992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Calibri" w:hAnsi="Calibri" w:eastAsia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 w:asciiTheme="minorHAnsi" w:hAnsiTheme="minorHAnsi"/>
                <w:sz w:val="20"/>
                <w:szCs w:val="20"/>
                <w:lang w:eastAsia="en-US"/>
              </w:rPr>
              <w:t>W</w:t>
            </w:r>
          </w:p>
        </w:tc>
        <w:tc>
          <w:tcPr>
            <w:tcW w:w="6136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Calibri" w:hAnsi="Calibri" w:eastAsia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 w:asciiTheme="minorHAnsi" w:hAnsiTheme="minorHAnsi"/>
                <w:sz w:val="20"/>
                <w:szCs w:val="20"/>
                <w:lang w:eastAsia="en-US"/>
              </w:rPr>
              <w:t>Zajęcia kształtujące umiejętności praktyczne</w:t>
            </w:r>
          </w:p>
        </w:tc>
      </w:tr>
      <w:tr>
        <w:trPr>
          <w:trHeight w:val="288" w:hRule="atLeast"/>
          <w:cantSplit w:val="true"/>
        </w:trPr>
        <w:tc>
          <w:tcPr>
            <w:tcW w:w="2831" w:type="dxa"/>
            <w:gridSpan w:val="6"/>
            <w:vMerge w:val="continue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Calibri" w:hAnsi="Calibri" w:eastAsia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992" w:type="dxa"/>
            <w:gridSpan w:val="4"/>
            <w:vMerge w:val="continue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Calibri" w:hAnsi="Calibri" w:eastAsia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Calibri" w:hAnsi="Calibri" w:eastAsia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 w:asciiTheme="minorHAnsi" w:hAnsiTheme="minorHAnsi"/>
                <w:sz w:val="20"/>
                <w:szCs w:val="20"/>
                <w:lang w:eastAsia="en-US"/>
              </w:rPr>
              <w:t>Ć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Calibri" w:hAnsi="Calibri" w:eastAsia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 w:asciiTheme="minorHAnsi" w:hAnsiTheme="minorHAnsi"/>
                <w:sz w:val="20"/>
                <w:szCs w:val="20"/>
                <w:lang w:eastAsia="en-US"/>
              </w:rPr>
              <w:t>K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Calibri" w:hAnsi="Calibri" w:eastAsia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 w:asciiTheme="minorHAnsi" w:hAnsiTheme="minorHAnsi"/>
                <w:sz w:val="20"/>
                <w:szCs w:val="20"/>
                <w:lang w:eastAsia="en-US"/>
              </w:rPr>
              <w:t>L</w:t>
            </w:r>
          </w:p>
        </w:tc>
        <w:tc>
          <w:tcPr>
            <w:tcW w:w="5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Calibri" w:hAnsi="Calibri" w:eastAsia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 w:asciiTheme="minorHAnsi" w:hAnsiTheme="minorHAnsi"/>
                <w:sz w:val="20"/>
                <w:szCs w:val="20"/>
                <w:lang w:eastAsia="en-US"/>
              </w:rPr>
              <w:t>ZP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Calibri" w:hAnsi="Calibri" w:eastAsia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 w:asciiTheme="minorHAnsi" w:hAnsiTheme="minorHAnsi"/>
                <w:sz w:val="20"/>
                <w:szCs w:val="20"/>
                <w:lang w:eastAsia="en-US"/>
              </w:rPr>
              <w:t>Wa</w:t>
            </w:r>
          </w:p>
        </w:tc>
        <w:tc>
          <w:tcPr>
            <w:tcW w:w="127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Calibri" w:hAnsi="Calibri" w:eastAsia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 w:asciiTheme="minorHAnsi" w:hAnsiTheme="minorHAnsi"/>
                <w:sz w:val="20"/>
                <w:szCs w:val="20"/>
                <w:lang w:eastAsia="en-US"/>
              </w:rPr>
              <w:t>Pr</w:t>
            </w:r>
          </w:p>
        </w:tc>
        <w:tc>
          <w:tcPr>
            <w:tcW w:w="14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Calibri" w:hAnsi="Calibri" w:eastAsia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 w:asciiTheme="minorHAnsi" w:hAnsiTheme="minorHAnsi"/>
                <w:sz w:val="20"/>
                <w:szCs w:val="20"/>
                <w:lang w:eastAsia="en-US"/>
              </w:rPr>
              <w:t>Inne- jakie:</w:t>
            </w:r>
          </w:p>
        </w:tc>
        <w:tc>
          <w:tcPr>
            <w:tcW w:w="6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Calibri" w:hAnsi="Calibri" w:eastAsia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</w:r>
          </w:p>
        </w:tc>
      </w:tr>
      <w:tr>
        <w:trPr>
          <w:trHeight w:val="361" w:hRule="atLeast"/>
        </w:trPr>
        <w:tc>
          <w:tcPr>
            <w:tcW w:w="283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Calibri" w:hAnsi="Calibri" w:eastAsia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 w:asciiTheme="minorHAnsi" w:hAnsiTheme="minorHAnsi"/>
                <w:sz w:val="20"/>
                <w:szCs w:val="20"/>
                <w:lang w:eastAsia="en-US"/>
              </w:rPr>
              <w:t>Liczba godzin zajęć w sem.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Calibri" w:hAnsi="Calibri" w:eastAsia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Calibri" w:hAnsi="Calibri" w:eastAsia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/>
            </w:pPr>
            <w:r>
              <w:rPr>
                <w:rFonts w:eastAsia="Calibri" w:cs="Times New Roman" w:ascii="Calibri" w:hAnsi="Calibri" w:asciiTheme="minorHAnsi" w:hAnsiTheme="minorHAnsi"/>
                <w:sz w:val="20"/>
                <w:szCs w:val="20"/>
                <w:lang w:eastAsia="en-US"/>
              </w:rPr>
              <w:t>40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Calibri" w:hAnsi="Calibri" w:eastAsia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5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Calibri" w:hAnsi="Calibri" w:eastAsia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Calibri" w:hAnsi="Calibri" w:eastAsia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127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Calibri" w:hAnsi="Calibri" w:eastAsia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216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Calibri" w:hAnsi="Calibri" w:eastAsia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</w:r>
          </w:p>
        </w:tc>
      </w:tr>
      <w:tr>
        <w:trPr>
          <w:trHeight w:val="361" w:hRule="atLeast"/>
        </w:trPr>
        <w:tc>
          <w:tcPr>
            <w:tcW w:w="9959" w:type="dxa"/>
            <w:gridSpan w:val="3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Calibri" w:hAnsi="Calibri" w:eastAsia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 w:asciiTheme="minorHAnsi" w:hAnsiTheme="minorHAnsi"/>
                <w:sz w:val="20"/>
                <w:szCs w:val="20"/>
                <w:lang w:eastAsia="en-US"/>
              </w:rPr>
              <w:t>Legenda: W – wykład, Ć – ćwiczenia, K- konwersatorium, L – laboratorium, P – projekt, Wa – warsztaty, ZP – zajęcia praktyczne, Pr – praktyka</w:t>
            </w:r>
          </w:p>
        </w:tc>
      </w:tr>
      <w:tr>
        <w:trPr>
          <w:trHeight w:val="361" w:hRule="atLeast"/>
        </w:trPr>
        <w:tc>
          <w:tcPr>
            <w:tcW w:w="283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Calibri" w:hAnsi="Calibri" w:eastAsia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 w:asciiTheme="minorHAnsi" w:hAnsiTheme="minorHAnsi"/>
                <w:sz w:val="20"/>
                <w:szCs w:val="20"/>
                <w:lang w:eastAsia="en-US"/>
              </w:rPr>
              <w:t>Semestr(y) zajęć dla kierunku uczenia się</w:t>
            </w:r>
          </w:p>
        </w:tc>
        <w:tc>
          <w:tcPr>
            <w:tcW w:w="262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Calibri" w:hAnsi="Calibri" w:eastAsia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 w:asciiTheme="minorHAnsi" w:hAnsiTheme="minorHAnsi"/>
                <w:sz w:val="20"/>
                <w:szCs w:val="20"/>
                <w:lang w:eastAsia="en-US"/>
              </w:rPr>
              <w:t>VI</w:t>
            </w:r>
          </w:p>
        </w:tc>
        <w:tc>
          <w:tcPr>
            <w:tcW w:w="205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Calibri" w:hAnsi="Calibri" w:eastAsia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 w:asciiTheme="minorHAnsi" w:hAnsiTheme="minorHAnsi"/>
                <w:sz w:val="20"/>
                <w:szCs w:val="20"/>
                <w:lang w:eastAsia="en-US"/>
              </w:rPr>
              <w:t>Liczba punktów ECTS za przedmiot</w:t>
            </w:r>
          </w:p>
        </w:tc>
        <w:tc>
          <w:tcPr>
            <w:tcW w:w="245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Calibri" w:hAnsi="Calibri" w:eastAsia="Calibri" w:cs="Times New Roman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eastAsia="Calibri" w:cs="Times New Roman" w:ascii="Calibri" w:hAnsi="Calibri"/>
                <w:sz w:val="20"/>
                <w:szCs w:val="20"/>
                <w:lang w:eastAsia="en-US"/>
              </w:rPr>
              <w:t>4</w:t>
            </w:r>
          </w:p>
        </w:tc>
      </w:tr>
      <w:tr>
        <w:trPr>
          <w:trHeight w:val="361" w:hRule="atLeast"/>
        </w:trPr>
        <w:tc>
          <w:tcPr>
            <w:tcW w:w="283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Calibri" w:hAnsi="Calibri" w:eastAsia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 w:asciiTheme="minorHAnsi" w:hAnsiTheme="minorHAnsi"/>
                <w:sz w:val="20"/>
                <w:szCs w:val="20"/>
                <w:lang w:eastAsia="en-US"/>
              </w:rPr>
              <w:t>Status przedmiotu</w:t>
            </w:r>
          </w:p>
        </w:tc>
        <w:tc>
          <w:tcPr>
            <w:tcW w:w="262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Calibri" w:hAnsi="Calibri" w:eastAsia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 w:asciiTheme="minorHAnsi" w:hAnsiTheme="minorHAnsi"/>
                <w:sz w:val="20"/>
                <w:szCs w:val="20"/>
                <w:lang w:eastAsia="en-US"/>
              </w:rPr>
              <w:t xml:space="preserve">obowiązkowy w ramach specjalności </w:t>
            </w:r>
          </w:p>
        </w:tc>
        <w:tc>
          <w:tcPr>
            <w:tcW w:w="205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Calibri" w:hAnsi="Calibri" w:eastAsia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 w:asciiTheme="minorHAnsi" w:hAnsiTheme="minorHAnsi"/>
                <w:sz w:val="20"/>
                <w:szCs w:val="20"/>
                <w:lang w:eastAsia="en-US"/>
              </w:rPr>
              <w:t>Język wykładowy</w:t>
            </w:r>
          </w:p>
        </w:tc>
        <w:tc>
          <w:tcPr>
            <w:tcW w:w="245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Calibri" w:hAnsi="Calibri" w:eastAsia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 w:asciiTheme="minorHAnsi" w:hAnsiTheme="minorHAnsi"/>
                <w:sz w:val="20"/>
                <w:szCs w:val="20"/>
                <w:lang w:eastAsia="en-US"/>
              </w:rPr>
              <w:t>polski</w:t>
            </w:r>
          </w:p>
        </w:tc>
      </w:tr>
      <w:tr>
        <w:trPr>
          <w:trHeight w:val="361" w:hRule="atLeast"/>
        </w:trPr>
        <w:tc>
          <w:tcPr>
            <w:tcW w:w="283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Calibri" w:hAnsi="Calibri" w:eastAsia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 w:asciiTheme="minorHAnsi" w:hAnsiTheme="minorHAnsi"/>
                <w:sz w:val="20"/>
                <w:szCs w:val="20"/>
                <w:lang w:eastAsia="en-US"/>
              </w:rPr>
              <w:t>Wymagania wstępne</w:t>
            </w:r>
          </w:p>
        </w:tc>
        <w:tc>
          <w:tcPr>
            <w:tcW w:w="7128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false"/>
              <w:rPr>
                <w:rFonts w:ascii="Calibri" w:hAnsi="Calibri" w:eastAsia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ascii="Calibri" w:hAnsi="Calibri" w:asciiTheme="minorHAnsi" w:hAnsiTheme="minorHAnsi"/>
                <w:sz w:val="20"/>
                <w:szCs w:val="20"/>
                <w:lang w:eastAsia="pl-PL"/>
              </w:rPr>
              <w:t>Podstawowa wiedza z zakresu zarządzania.</w:t>
            </w:r>
          </w:p>
        </w:tc>
      </w:tr>
      <w:tr>
        <w:trPr>
          <w:trHeight w:val="288" w:hRule="atLeast"/>
        </w:trPr>
        <w:tc>
          <w:tcPr>
            <w:tcW w:w="9959" w:type="dxa"/>
            <w:gridSpan w:val="31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both"/>
              <w:rPr>
                <w:rFonts w:ascii="Calibri" w:hAnsi="Calibri" w:eastAsia="Calibri" w:asciiTheme="minorHAnsi" w:hAnsiTheme="minorHAnsi"/>
                <w:b/>
                <w:b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 w:asciiTheme="minorHAnsi" w:hAnsiTheme="minorHAnsi"/>
                <w:b/>
                <w:sz w:val="20"/>
                <w:szCs w:val="20"/>
                <w:lang w:eastAsia="en-US"/>
              </w:rPr>
              <w:t>Cele uczenia się</w:t>
            </w:r>
          </w:p>
          <w:p>
            <w:pPr>
              <w:pStyle w:val="Normal"/>
              <w:suppressAutoHyphens w:val="false"/>
              <w:jc w:val="both"/>
              <w:rPr>
                <w:rFonts w:ascii="Calibri" w:hAnsi="Calibri" w:eastAsia="Calibri" w:asciiTheme="minorHAnsi" w:hAnsiTheme="minorHAnsi"/>
                <w:b/>
                <w:b/>
                <w:sz w:val="20"/>
                <w:szCs w:val="20"/>
                <w:lang w:eastAsia="en-US"/>
              </w:rPr>
            </w:pPr>
            <w:r>
              <w:rPr>
                <w:rFonts w:ascii="Calibri" w:hAnsi="Calibri" w:asciiTheme="minorHAnsi" w:hAnsiTheme="minorHAnsi"/>
                <w:sz w:val="20"/>
                <w:szCs w:val="20"/>
                <w:lang w:eastAsia="pl-PL"/>
              </w:rPr>
              <w:t>Celem przedmiotu jest przedstawienie aspektów zarządzania zasobami ludzkimi maj</w:t>
            </w:r>
            <w:r>
              <w:rPr>
                <w:rFonts w:eastAsia="TimesNewRoman" w:cs="TimesNewRoman" w:ascii="Calibri" w:hAnsi="Calibri" w:asciiTheme="minorHAnsi" w:hAnsiTheme="minorHAnsi"/>
                <w:sz w:val="20"/>
                <w:szCs w:val="20"/>
                <w:lang w:eastAsia="pl-PL"/>
              </w:rPr>
              <w:t>ą</w:t>
            </w:r>
            <w:r>
              <w:rPr>
                <w:rFonts w:ascii="Calibri" w:hAnsi="Calibri" w:asciiTheme="minorHAnsi" w:hAnsiTheme="minorHAnsi"/>
                <w:sz w:val="20"/>
                <w:szCs w:val="20"/>
                <w:lang w:eastAsia="pl-PL"/>
              </w:rPr>
              <w:t>cych zastosowanie w poszczególnych obszarach: motywowaniu, ocenianiu, wynagradzaniu. Umiej</w:t>
            </w:r>
            <w:r>
              <w:rPr>
                <w:rFonts w:eastAsia="TimesNewRoman" w:cs="TimesNewRoman" w:ascii="Calibri" w:hAnsi="Calibri" w:asciiTheme="minorHAnsi" w:hAnsiTheme="minorHAnsi"/>
                <w:sz w:val="20"/>
                <w:szCs w:val="20"/>
                <w:lang w:eastAsia="pl-PL"/>
              </w:rPr>
              <w:t>ę</w:t>
            </w:r>
            <w:r>
              <w:rPr>
                <w:rFonts w:ascii="Calibri" w:hAnsi="Calibri" w:asciiTheme="minorHAnsi" w:hAnsiTheme="minorHAnsi"/>
                <w:sz w:val="20"/>
                <w:szCs w:val="20"/>
                <w:lang w:eastAsia="pl-PL"/>
              </w:rPr>
              <w:t>tno</w:t>
            </w:r>
            <w:r>
              <w:rPr>
                <w:rFonts w:eastAsia="TimesNewRoman" w:cs="TimesNewRoman" w:ascii="Calibri" w:hAnsi="Calibri" w:asciiTheme="minorHAnsi" w:hAnsiTheme="minorHAnsi"/>
                <w:sz w:val="20"/>
                <w:szCs w:val="20"/>
                <w:lang w:eastAsia="pl-PL"/>
              </w:rPr>
              <w:t xml:space="preserve">ść </w:t>
            </w:r>
            <w:r>
              <w:rPr>
                <w:rFonts w:ascii="Calibri" w:hAnsi="Calibri" w:asciiTheme="minorHAnsi" w:hAnsiTheme="minorHAnsi"/>
                <w:sz w:val="20"/>
                <w:szCs w:val="20"/>
                <w:lang w:eastAsia="pl-PL"/>
              </w:rPr>
              <w:t>zastosowania systemów motywowania, oceniania i wynagradzania w praktyce przez organizację w zakresie jej sprawnego zarządzania zasobami ludzkimi i funkcjonowania w warunkach konkurencji i zmiennego otoczenia.</w:t>
            </w:r>
          </w:p>
        </w:tc>
      </w:tr>
      <w:tr>
        <w:trPr>
          <w:trHeight w:val="397" w:hRule="atLeast"/>
        </w:trPr>
        <w:tc>
          <w:tcPr>
            <w:tcW w:w="9959" w:type="dxa"/>
            <w:gridSpan w:val="3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/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 xml:space="preserve">Metody dydaktyczne stosowane w celu osiągnięcia zakładanych efektów uczenia się </w:t>
            </w:r>
          </w:p>
          <w:p>
            <w:pPr>
              <w:pStyle w:val="Normal"/>
              <w:snapToGrid w:val="false"/>
              <w:rPr>
                <w:rStyle w:val="Domylnaczcionkaakapitu1"/>
                <w:rFonts w:ascii="Calibri" w:hAnsi="Calibri" w:eastAsia="Batang" w:asciiTheme="minorHAnsi" w:hAnsiTheme="minorHAnsi"/>
                <w:bCs/>
                <w:sz w:val="20"/>
                <w:szCs w:val="20"/>
              </w:rPr>
            </w:pPr>
            <w:r>
              <w:rPr>
                <w:rStyle w:val="Domylnaczcionkaakapitu1"/>
                <w:rFonts w:eastAsia="Batang" w:ascii="Calibri" w:hAnsi="Calibri" w:asciiTheme="minorHAnsi" w:hAnsiTheme="minorHAnsi"/>
                <w:bCs/>
                <w:sz w:val="20"/>
                <w:szCs w:val="20"/>
              </w:rPr>
              <w:t>- wykład konwersatoryjny z prezentacją multimedialną,</w:t>
            </w:r>
          </w:p>
          <w:p>
            <w:pPr>
              <w:pStyle w:val="Normal"/>
              <w:snapToGrid w:val="false"/>
              <w:rPr>
                <w:rStyle w:val="Domylnaczcionkaakapitu1"/>
                <w:rFonts w:ascii="Calibri" w:hAnsi="Calibri" w:eastAsia="Batang" w:asciiTheme="minorHAnsi" w:hAnsiTheme="minorHAnsi"/>
                <w:bCs/>
                <w:sz w:val="20"/>
                <w:szCs w:val="20"/>
              </w:rPr>
            </w:pPr>
            <w:r>
              <w:rPr>
                <w:rStyle w:val="Domylnaczcionkaakapitu1"/>
                <w:rFonts w:eastAsia="Batang" w:ascii="Calibri" w:hAnsi="Calibri" w:asciiTheme="minorHAnsi" w:hAnsiTheme="minorHAnsi"/>
                <w:bCs/>
                <w:sz w:val="20"/>
                <w:szCs w:val="20"/>
              </w:rPr>
              <w:t>- dyskusja,</w:t>
            </w:r>
          </w:p>
          <w:p>
            <w:pPr>
              <w:pStyle w:val="Normal"/>
              <w:snapToGrid w:val="false"/>
              <w:rPr>
                <w:rStyle w:val="Domylnaczcionkaakapitu1"/>
                <w:rFonts w:ascii="Calibri" w:hAnsi="Calibri" w:eastAsia="Batang" w:asciiTheme="minorHAnsi" w:hAnsiTheme="minorHAnsi"/>
                <w:bCs/>
                <w:sz w:val="20"/>
                <w:szCs w:val="20"/>
              </w:rPr>
            </w:pPr>
            <w:r>
              <w:rPr>
                <w:rStyle w:val="Domylnaczcionkaakapitu1"/>
                <w:rFonts w:eastAsia="Batang" w:ascii="Calibri" w:hAnsi="Calibri" w:asciiTheme="minorHAnsi" w:hAnsiTheme="minorHAnsi"/>
                <w:bCs/>
                <w:sz w:val="20"/>
                <w:szCs w:val="20"/>
              </w:rPr>
              <w:t>- praca w grupach,</w:t>
            </w:r>
          </w:p>
          <w:p>
            <w:pPr>
              <w:pStyle w:val="Normal"/>
              <w:snapToGrid w:val="false"/>
              <w:rPr>
                <w:rStyle w:val="Domylnaczcionkaakapitu1"/>
                <w:rFonts w:ascii="Calibri" w:hAnsi="Calibri" w:eastAsia="Batang" w:asciiTheme="minorHAnsi" w:hAnsiTheme="minorHAnsi"/>
                <w:b/>
                <w:b/>
                <w:sz w:val="20"/>
                <w:szCs w:val="20"/>
              </w:rPr>
            </w:pPr>
            <w:r>
              <w:rPr>
                <w:rStyle w:val="Domylnaczcionkaakapitu1"/>
                <w:rFonts w:eastAsia="Batang" w:ascii="Calibri" w:hAnsi="Calibri" w:asciiTheme="minorHAnsi" w:hAnsiTheme="minorHAnsi"/>
                <w:bCs/>
                <w:sz w:val="20"/>
                <w:szCs w:val="20"/>
              </w:rPr>
              <w:t>- studium przypadku.</w:t>
            </w:r>
          </w:p>
        </w:tc>
      </w:tr>
      <w:tr>
        <w:trPr>
          <w:trHeight w:val="397" w:hRule="atLeast"/>
        </w:trPr>
        <w:tc>
          <w:tcPr>
            <w:tcW w:w="9959" w:type="dxa"/>
            <w:gridSpan w:val="3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Calibri" w:hAnsi="Calibri" w:asciiTheme="minorHAnsi" w:hAnsiTheme="minorHAnsi"/>
                <w:sz w:val="20"/>
                <w:szCs w:val="20"/>
              </w:rPr>
            </w:pPr>
            <w:r>
              <w:rPr>
                <w:rStyle w:val="Domylnaczcionkaakapitu1"/>
                <w:rFonts w:eastAsia="Batang" w:ascii="Calibri" w:hAnsi="Calibri" w:asciiTheme="minorHAnsi" w:hAnsiTheme="minorHAnsi"/>
                <w:b/>
                <w:sz w:val="20"/>
                <w:szCs w:val="20"/>
              </w:rPr>
              <w:t>Opis efektów uczenia się</w:t>
            </w:r>
            <w:r>
              <w:rPr>
                <w:rStyle w:val="Domylnaczcionkaakapitu1"/>
                <w:rFonts w:eastAsia="Calibri" w:ascii="Calibri" w:hAnsi="Calibri" w:asciiTheme="minorHAnsi" w:hAnsiTheme="minorHAnsi"/>
                <w:b/>
                <w:sz w:val="20"/>
                <w:szCs w:val="20"/>
                <w:lang w:eastAsia="en-US"/>
              </w:rPr>
              <w:t xml:space="preserve"> dla przedmiotu </w:t>
            </w:r>
          </w:p>
        </w:tc>
      </w:tr>
      <w:tr>
        <w:trPr>
          <w:trHeight w:val="558" w:hRule="atLeast"/>
        </w:trPr>
        <w:tc>
          <w:tcPr>
            <w:tcW w:w="12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Calibri" w:hAnsi="Calibri" w:asciiTheme="minorHAnsi" w:hAnsiTheme="minorHAnsi"/>
                <w:sz w:val="20"/>
                <w:szCs w:val="20"/>
              </w:rPr>
            </w:pPr>
            <w:r>
              <w:rPr>
                <w:rFonts w:ascii="Calibri" w:hAnsi="Calibri" w:asciiTheme="minorHAnsi" w:hAnsiTheme="minorHAnsi"/>
                <w:sz w:val="20"/>
                <w:szCs w:val="20"/>
              </w:rPr>
              <w:t>Efekt uczenia się</w:t>
            </w:r>
          </w:p>
        </w:tc>
        <w:tc>
          <w:tcPr>
            <w:tcW w:w="6117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Calibri" w:hAnsi="Calibri" w:asciiTheme="minorHAnsi" w:hAnsiTheme="minorHAnsi"/>
                <w:sz w:val="20"/>
                <w:szCs w:val="20"/>
              </w:rPr>
            </w:pPr>
            <w:r>
              <w:rPr>
                <w:rFonts w:ascii="Calibri" w:hAnsi="Calibri" w:asciiTheme="minorHAnsi" w:hAnsiTheme="minorHAnsi"/>
                <w:sz w:val="20"/>
                <w:szCs w:val="20"/>
              </w:rPr>
              <w:t>Student, który zaliczył przedmiot wie/umie/potrafi:</w:t>
            </w:r>
          </w:p>
        </w:tc>
        <w:tc>
          <w:tcPr>
            <w:tcW w:w="136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Calibri" w:hAnsi="Calibri" w:asciiTheme="minorHAnsi" w:hAnsiTheme="minorHAnsi"/>
                <w:sz w:val="18"/>
                <w:szCs w:val="18"/>
              </w:rPr>
            </w:pPr>
            <w:r>
              <w:rPr>
                <w:rFonts w:ascii="Calibri" w:hAnsi="Calibri" w:asciiTheme="minorHAnsi" w:hAnsiTheme="minorHAnsi"/>
                <w:sz w:val="18"/>
                <w:szCs w:val="18"/>
              </w:rPr>
              <w:t>SYMBOL (odniesienie do efektów kierunkowych)</w:t>
            </w:r>
          </w:p>
        </w:tc>
        <w:tc>
          <w:tcPr>
            <w:tcW w:w="12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Calibri" w:hAnsi="Calibri" w:asciiTheme="minorHAnsi" w:hAnsiTheme="minorHAnsi"/>
                <w:sz w:val="16"/>
                <w:szCs w:val="16"/>
              </w:rPr>
            </w:pPr>
            <w:r>
              <w:rPr>
                <w:rFonts w:ascii="Calibri" w:hAnsi="Calibri" w:asciiTheme="minorHAnsi" w:hAnsiTheme="minorHAnsi"/>
                <w:sz w:val="16"/>
                <w:szCs w:val="16"/>
              </w:rPr>
              <w:t>SYMBOL (odniesienie kierunkowych efektów uczenia się do charakterystyk drugiego stopnia dla: poziomu 6 Polskiej Ramy Kwalifikacji)*</w:t>
            </w:r>
          </w:p>
        </w:tc>
      </w:tr>
      <w:tr>
        <w:trPr>
          <w:trHeight w:val="284" w:hRule="atLeast"/>
        </w:trPr>
        <w:tc>
          <w:tcPr>
            <w:tcW w:w="9959" w:type="dxa"/>
            <w:gridSpan w:val="3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Calibri" w:hAnsi="Calibri" w:asciiTheme="minorHAnsi" w:hAnsiTheme="minorHAnsi"/>
                <w:sz w:val="20"/>
                <w:szCs w:val="20"/>
              </w:rPr>
            </w:pPr>
            <w:r>
              <w:rPr>
                <w:rFonts w:ascii="Calibri" w:hAnsi="Calibri" w:asciiTheme="minorHAnsi" w:hAnsiTheme="minorHAnsi"/>
                <w:sz w:val="20"/>
                <w:szCs w:val="20"/>
              </w:rPr>
              <w:t>WIEDZA</w:t>
            </w:r>
          </w:p>
        </w:tc>
      </w:tr>
      <w:tr>
        <w:trPr>
          <w:trHeight w:val="284" w:hRule="atLeast"/>
        </w:trPr>
        <w:tc>
          <w:tcPr>
            <w:tcW w:w="12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Calibri" w:hAnsi="Calibri" w:asciiTheme="minorHAnsi" w:hAnsi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hAnsi="Calibri" w:asciiTheme="minorHAnsi" w:hAnsiTheme="minorHAnsi"/>
                <w:color w:val="000000"/>
                <w:sz w:val="20"/>
                <w:szCs w:val="20"/>
                <w:lang w:eastAsia="en-US"/>
              </w:rPr>
              <w:t>W1</w:t>
            </w:r>
          </w:p>
        </w:tc>
        <w:tc>
          <w:tcPr>
            <w:tcW w:w="6204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uppressAutoHyphens w:val="false"/>
              <w:jc w:val="both"/>
              <w:rPr>
                <w:rFonts w:ascii="Calibri" w:hAnsi="Calibri" w:asciiTheme="minorHAnsi" w:hAnsiTheme="minorHAnsi"/>
                <w:sz w:val="20"/>
                <w:szCs w:val="20"/>
                <w:lang w:eastAsia="pl-PL"/>
              </w:rPr>
            </w:pPr>
            <w:r>
              <w:rPr>
                <w:rFonts w:ascii="Calibri" w:hAnsi="Calibri" w:asciiTheme="minorHAnsi" w:hAnsiTheme="minorHAnsi"/>
                <w:sz w:val="20"/>
                <w:szCs w:val="20"/>
                <w:lang w:eastAsia="pl-PL"/>
              </w:rPr>
              <w:t>Orientuje się w procesie motywowania materialnego i pozamaterialnego pracowników, definiuje podstawowe pojęcia z zakresu motywowania i wynagradzania, objaśnia modele i teorie motywowania.</w:t>
            </w:r>
          </w:p>
        </w:tc>
        <w:tc>
          <w:tcPr>
            <w:tcW w:w="127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Calibri" w:hAnsi="Calibri" w:asciiTheme="minorHAnsi" w:hAnsiTheme="minorHAnsi"/>
                <w:color w:val="FF0000"/>
                <w:sz w:val="20"/>
                <w:szCs w:val="20"/>
              </w:rPr>
            </w:pPr>
            <w:r>
              <w:rPr>
                <w:rFonts w:ascii="Calibri" w:hAnsi="Calibri" w:asciiTheme="minorHAnsi" w:hAnsiTheme="minorHAnsi"/>
                <w:sz w:val="20"/>
                <w:szCs w:val="20"/>
              </w:rPr>
              <w:t>SPZZL_W07</w:t>
            </w:r>
          </w:p>
        </w:tc>
        <w:tc>
          <w:tcPr>
            <w:tcW w:w="12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Calibri" w:hAnsi="Calibri" w:asciiTheme="minorHAnsi" w:hAnsiTheme="minorHAnsi"/>
                <w:color w:val="FF0000"/>
                <w:sz w:val="20"/>
                <w:szCs w:val="20"/>
              </w:rPr>
            </w:pPr>
            <w:r>
              <w:rPr>
                <w:rFonts w:ascii="Calibri" w:hAnsi="Calibri" w:asciiTheme="minorHAnsi" w:hAnsiTheme="minorHAnsi"/>
                <w:sz w:val="20"/>
                <w:szCs w:val="20"/>
              </w:rPr>
              <w:t>P6S_WG P6S_WK</w:t>
            </w:r>
          </w:p>
        </w:tc>
      </w:tr>
      <w:tr>
        <w:trPr>
          <w:trHeight w:val="284" w:hRule="atLeast"/>
        </w:trPr>
        <w:tc>
          <w:tcPr>
            <w:tcW w:w="12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Calibri" w:hAnsi="Calibri" w:asciiTheme="minorHAnsi" w:hAnsi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hAnsi="Calibri" w:asciiTheme="minorHAnsi" w:hAnsiTheme="minorHAnsi"/>
                <w:color w:val="000000"/>
                <w:sz w:val="20"/>
                <w:szCs w:val="20"/>
                <w:lang w:eastAsia="en-US"/>
              </w:rPr>
              <w:t>W2</w:t>
            </w:r>
          </w:p>
        </w:tc>
        <w:tc>
          <w:tcPr>
            <w:tcW w:w="6204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uppressAutoHyphens w:val="false"/>
              <w:jc w:val="both"/>
              <w:rPr>
                <w:rFonts w:ascii="Calibri" w:hAnsi="Calibri" w:asciiTheme="minorHAnsi" w:hAnsiTheme="minorHAnsi"/>
                <w:color w:val="1A171B"/>
                <w:sz w:val="20"/>
                <w:szCs w:val="20"/>
              </w:rPr>
            </w:pPr>
            <w:r>
              <w:rPr>
                <w:rFonts w:ascii="Calibri" w:hAnsi="Calibri" w:asciiTheme="minorHAnsi" w:hAnsiTheme="minorHAnsi"/>
                <w:sz w:val="20"/>
                <w:szCs w:val="20"/>
                <w:lang w:eastAsia="pl-PL"/>
              </w:rPr>
              <w:t>Rozumie rolę personelu w organizacji i jego znaczenie dla procesów, zasobów, domeny działania i kierowania nią, charakteryzuje strategie zarządzania zasobami ludzkimi.</w:t>
            </w:r>
          </w:p>
        </w:tc>
        <w:tc>
          <w:tcPr>
            <w:tcW w:w="127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Calibri" w:hAnsi="Calibri" w:asciiTheme="minorHAnsi" w:hAnsiTheme="minorHAnsi"/>
                <w:color w:val="FF0000"/>
                <w:sz w:val="20"/>
                <w:szCs w:val="20"/>
              </w:rPr>
            </w:pPr>
            <w:r>
              <w:rPr>
                <w:rFonts w:ascii="Calibri" w:hAnsi="Calibri" w:asciiTheme="minorHAnsi" w:hAnsiTheme="minorHAnsi"/>
                <w:sz w:val="20"/>
                <w:szCs w:val="20"/>
              </w:rPr>
              <w:t>SPZZL_W01</w:t>
            </w:r>
          </w:p>
        </w:tc>
        <w:tc>
          <w:tcPr>
            <w:tcW w:w="12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Calibri" w:hAnsi="Calibri" w:asciiTheme="minorHAnsi" w:hAnsiTheme="minorHAnsi"/>
                <w:color w:val="FF0000"/>
                <w:sz w:val="20"/>
                <w:szCs w:val="20"/>
              </w:rPr>
            </w:pPr>
            <w:r>
              <w:rPr>
                <w:rFonts w:ascii="Calibri" w:hAnsi="Calibri" w:asciiTheme="minorHAnsi" w:hAnsiTheme="minorHAnsi"/>
                <w:sz w:val="20"/>
                <w:szCs w:val="20"/>
              </w:rPr>
              <w:t>P6S_WG</w:t>
            </w:r>
          </w:p>
        </w:tc>
      </w:tr>
      <w:tr>
        <w:trPr>
          <w:trHeight w:val="284" w:hRule="atLeast"/>
        </w:trPr>
        <w:tc>
          <w:tcPr>
            <w:tcW w:w="9959" w:type="dxa"/>
            <w:gridSpan w:val="3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Calibri" w:hAnsi="Calibri" w:asciiTheme="minorHAnsi" w:hAnsiTheme="minorHAnsi"/>
                <w:sz w:val="20"/>
                <w:szCs w:val="20"/>
              </w:rPr>
            </w:pPr>
            <w:r>
              <w:rPr>
                <w:rFonts w:ascii="Calibri" w:hAnsi="Calibri" w:asciiTheme="minorHAnsi" w:hAnsiTheme="minorHAnsi"/>
                <w:sz w:val="20"/>
                <w:szCs w:val="20"/>
              </w:rPr>
              <w:t xml:space="preserve">UMIEJĘTNOŚCI </w:t>
            </w:r>
          </w:p>
        </w:tc>
      </w:tr>
      <w:tr>
        <w:trPr>
          <w:trHeight w:val="284" w:hRule="atLeast"/>
        </w:trPr>
        <w:tc>
          <w:tcPr>
            <w:tcW w:w="12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76"/>
              <w:jc w:val="center"/>
              <w:rPr>
                <w:rFonts w:ascii="Calibri" w:hAnsi="Calibri" w:asciiTheme="minorHAnsi" w:hAnsi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hAnsi="Calibri" w:asciiTheme="minorHAnsi" w:hAnsiTheme="minorHAnsi"/>
                <w:color w:val="000000"/>
                <w:sz w:val="20"/>
                <w:szCs w:val="20"/>
                <w:lang w:eastAsia="en-US"/>
              </w:rPr>
              <w:t>U1</w:t>
            </w:r>
          </w:p>
        </w:tc>
        <w:tc>
          <w:tcPr>
            <w:tcW w:w="6204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suppressAutoHyphens w:val="false"/>
              <w:jc w:val="both"/>
              <w:rPr>
                <w:rFonts w:ascii="Calibri" w:hAnsi="Calibri" w:asciiTheme="minorHAnsi" w:hAnsiTheme="minorHAnsi"/>
                <w:sz w:val="20"/>
                <w:szCs w:val="20"/>
              </w:rPr>
            </w:pPr>
            <w:r>
              <w:rPr>
                <w:rFonts w:ascii="Calibri" w:hAnsi="Calibri" w:asciiTheme="minorHAnsi" w:hAnsiTheme="minorHAnsi"/>
                <w:sz w:val="20"/>
                <w:szCs w:val="20"/>
                <w:lang w:eastAsia="pl-PL"/>
              </w:rPr>
              <w:t>Rozwiązuje podstawowe problemy z zakresu oceniania pracowników, umie unikać błędów w ocenianiu personelu, opracowuje narzędzia do oceny pracowników.</w:t>
            </w:r>
          </w:p>
        </w:tc>
        <w:tc>
          <w:tcPr>
            <w:tcW w:w="127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Calibri" w:hAnsi="Calibri" w:asciiTheme="minorHAnsi" w:hAnsiTheme="minorHAnsi"/>
                <w:color w:val="FF0000"/>
                <w:sz w:val="20"/>
                <w:szCs w:val="20"/>
                <w:lang w:eastAsia="en-US"/>
              </w:rPr>
            </w:pPr>
            <w:r>
              <w:rPr>
                <w:rFonts w:ascii="Calibri" w:hAnsi="Calibri" w:asciiTheme="minorHAnsi" w:hAnsiTheme="minorHAnsi"/>
                <w:sz w:val="20"/>
                <w:szCs w:val="20"/>
              </w:rPr>
              <w:t>SPZZL_U01</w:t>
            </w:r>
          </w:p>
        </w:tc>
        <w:tc>
          <w:tcPr>
            <w:tcW w:w="12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Calibri" w:hAnsi="Calibri" w:asciiTheme="minorHAnsi" w:hAnsiTheme="minorHAnsi"/>
                <w:sz w:val="20"/>
                <w:szCs w:val="20"/>
              </w:rPr>
            </w:pPr>
            <w:r>
              <w:rPr>
                <w:rFonts w:ascii="Calibri" w:hAnsi="Calibri" w:asciiTheme="minorHAnsi" w:hAnsiTheme="minorHAnsi"/>
                <w:sz w:val="20"/>
                <w:szCs w:val="20"/>
              </w:rPr>
              <w:t>P6S_UW</w:t>
            </w:r>
          </w:p>
        </w:tc>
      </w:tr>
      <w:tr>
        <w:trPr>
          <w:trHeight w:val="284" w:hRule="atLeast"/>
        </w:trPr>
        <w:tc>
          <w:tcPr>
            <w:tcW w:w="12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76"/>
              <w:jc w:val="center"/>
              <w:rPr>
                <w:rFonts w:ascii="Calibri" w:hAnsi="Calibri" w:asciiTheme="minorHAnsi" w:hAnsi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hAnsi="Calibri" w:asciiTheme="minorHAnsi" w:hAnsiTheme="minorHAnsi"/>
                <w:color w:val="000000"/>
                <w:sz w:val="20"/>
                <w:szCs w:val="20"/>
                <w:lang w:eastAsia="en-US"/>
              </w:rPr>
              <w:t>U2</w:t>
            </w:r>
          </w:p>
        </w:tc>
        <w:tc>
          <w:tcPr>
            <w:tcW w:w="6204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suppressAutoHyphens w:val="false"/>
              <w:jc w:val="both"/>
              <w:rPr>
                <w:rFonts w:ascii="Calibri" w:hAnsi="Calibri" w:asciiTheme="minorHAnsi" w:hAnsiTheme="minorHAnsi"/>
                <w:sz w:val="20"/>
                <w:szCs w:val="20"/>
              </w:rPr>
            </w:pPr>
            <w:r>
              <w:rPr>
                <w:rFonts w:ascii="Calibri" w:hAnsi="Calibri" w:asciiTheme="minorHAnsi" w:hAnsiTheme="minorHAnsi"/>
                <w:sz w:val="20"/>
                <w:szCs w:val="20"/>
                <w:lang w:eastAsia="pl-PL"/>
              </w:rPr>
              <w:t>Ocenia skuteczność systemu motywowania w firmie, dobiera instrumenty motywowania, uwzględniając specyficzne uwarunkowania firmy oraz oczekiwania i wartości pracowników.</w:t>
            </w:r>
          </w:p>
        </w:tc>
        <w:tc>
          <w:tcPr>
            <w:tcW w:w="127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Calibri" w:hAnsi="Calibri" w:asciiTheme="minorHAnsi" w:hAnsiTheme="minorHAnsi"/>
                <w:color w:val="FF0000"/>
                <w:sz w:val="20"/>
                <w:szCs w:val="20"/>
                <w:lang w:eastAsia="en-US"/>
              </w:rPr>
            </w:pPr>
            <w:r>
              <w:rPr>
                <w:rFonts w:ascii="Calibri" w:hAnsi="Calibri" w:asciiTheme="minorHAnsi" w:hAnsiTheme="minorHAnsi"/>
                <w:sz w:val="20"/>
                <w:szCs w:val="20"/>
              </w:rPr>
              <w:t>SPZZL_U05</w:t>
            </w:r>
          </w:p>
        </w:tc>
        <w:tc>
          <w:tcPr>
            <w:tcW w:w="12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Calibri" w:hAnsi="Calibri" w:asciiTheme="minorHAnsi" w:hAnsiTheme="minorHAnsi"/>
                <w:sz w:val="20"/>
                <w:szCs w:val="20"/>
              </w:rPr>
            </w:pPr>
            <w:r>
              <w:rPr>
                <w:rFonts w:ascii="Calibri" w:hAnsi="Calibri" w:asciiTheme="minorHAnsi" w:hAnsiTheme="minorHAnsi"/>
                <w:sz w:val="20"/>
                <w:szCs w:val="20"/>
              </w:rPr>
              <w:t>P6S_UW P6S_UO</w:t>
            </w:r>
          </w:p>
        </w:tc>
      </w:tr>
      <w:tr>
        <w:trPr>
          <w:trHeight w:val="284" w:hRule="atLeast"/>
        </w:trPr>
        <w:tc>
          <w:tcPr>
            <w:tcW w:w="12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76"/>
              <w:jc w:val="center"/>
              <w:rPr>
                <w:rFonts w:ascii="Calibri" w:hAnsi="Calibri" w:asciiTheme="minorHAnsi" w:hAnsi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hAnsi="Calibri" w:asciiTheme="minorHAnsi" w:hAnsiTheme="minorHAnsi"/>
                <w:color w:val="000000"/>
                <w:sz w:val="20"/>
                <w:szCs w:val="20"/>
                <w:lang w:eastAsia="en-US"/>
              </w:rPr>
              <w:t>U3</w:t>
            </w:r>
          </w:p>
        </w:tc>
        <w:tc>
          <w:tcPr>
            <w:tcW w:w="6204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suppressAutoHyphens w:val="false"/>
              <w:jc w:val="both"/>
              <w:rPr>
                <w:rFonts w:ascii="Calibri" w:hAnsi="Calibri" w:asciiTheme="minorHAnsi" w:hAnsiTheme="minorHAnsi"/>
                <w:sz w:val="20"/>
                <w:szCs w:val="20"/>
                <w:lang w:eastAsia="pl-PL"/>
              </w:rPr>
            </w:pPr>
            <w:r>
              <w:rPr>
                <w:rFonts w:ascii="Calibri" w:hAnsi="Calibri" w:asciiTheme="minorHAnsi" w:hAnsiTheme="minorHAnsi"/>
                <w:sz w:val="20"/>
                <w:szCs w:val="20"/>
                <w:lang w:eastAsia="pl-PL"/>
              </w:rPr>
              <w:t>Wyjaśnia przy pomocy pojęć socjologicznych zjawiska społeczne wpływające na procesy zatrudnienia, relacje personalne wewnątrz organizacji, analizuje problemy pracy i funkcjonowania organizacji z różnych perspektyw.</w:t>
            </w:r>
          </w:p>
        </w:tc>
        <w:tc>
          <w:tcPr>
            <w:tcW w:w="127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Calibri" w:hAnsi="Calibri" w:asciiTheme="minorHAnsi" w:hAnsiTheme="minorHAnsi"/>
                <w:color w:val="FF0000"/>
                <w:sz w:val="20"/>
                <w:szCs w:val="20"/>
                <w:lang w:eastAsia="en-US"/>
              </w:rPr>
            </w:pPr>
            <w:r>
              <w:rPr>
                <w:rFonts w:ascii="Calibri" w:hAnsi="Calibri" w:asciiTheme="minorHAnsi" w:hAnsiTheme="minorHAnsi"/>
                <w:sz w:val="20"/>
                <w:szCs w:val="20"/>
              </w:rPr>
              <w:t>SPZZL_U06</w:t>
            </w:r>
          </w:p>
        </w:tc>
        <w:tc>
          <w:tcPr>
            <w:tcW w:w="12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Calibri" w:hAnsi="Calibri" w:asciiTheme="minorHAnsi" w:hAnsiTheme="minorHAnsi"/>
                <w:sz w:val="20"/>
                <w:szCs w:val="20"/>
              </w:rPr>
            </w:pPr>
            <w:r>
              <w:rPr>
                <w:rFonts w:ascii="Calibri" w:hAnsi="Calibri" w:asciiTheme="minorHAnsi" w:hAnsiTheme="minorHAnsi"/>
                <w:sz w:val="20"/>
                <w:szCs w:val="20"/>
              </w:rPr>
              <w:t>P6S_UK</w:t>
            </w:r>
          </w:p>
        </w:tc>
      </w:tr>
      <w:tr>
        <w:trPr>
          <w:trHeight w:val="284" w:hRule="atLeast"/>
        </w:trPr>
        <w:tc>
          <w:tcPr>
            <w:tcW w:w="9959" w:type="dxa"/>
            <w:gridSpan w:val="3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Calibri" w:hAnsi="Calibri" w:eastAsia="Calibri" w:asciiTheme="minorHAnsi" w:hAnsiTheme="minorHAnsi"/>
                <w:color w:val="FF0000"/>
                <w:sz w:val="20"/>
                <w:szCs w:val="20"/>
              </w:rPr>
            </w:pPr>
            <w:r>
              <w:rPr>
                <w:rFonts w:ascii="Calibri" w:hAnsi="Calibri" w:asciiTheme="minorHAnsi" w:hAnsiTheme="minorHAnsi"/>
                <w:sz w:val="20"/>
                <w:szCs w:val="20"/>
              </w:rPr>
              <w:t>KOMPETENCJE SPOŁECZNE</w:t>
            </w:r>
          </w:p>
        </w:tc>
      </w:tr>
      <w:tr>
        <w:trPr>
          <w:trHeight w:val="284" w:hRule="atLeast"/>
        </w:trPr>
        <w:tc>
          <w:tcPr>
            <w:tcW w:w="12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76"/>
              <w:jc w:val="center"/>
              <w:rPr>
                <w:rFonts w:ascii="Calibri" w:hAnsi="Calibri" w:asciiTheme="minorHAnsi" w:hAnsi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hAnsi="Calibri" w:asciiTheme="minorHAnsi" w:hAnsiTheme="minorHAnsi"/>
                <w:color w:val="000000"/>
                <w:sz w:val="20"/>
                <w:szCs w:val="20"/>
                <w:lang w:eastAsia="en-US"/>
              </w:rPr>
              <w:t>K1</w:t>
            </w:r>
          </w:p>
        </w:tc>
        <w:tc>
          <w:tcPr>
            <w:tcW w:w="6204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suppressAutoHyphens w:val="false"/>
              <w:jc w:val="both"/>
              <w:rPr>
                <w:rFonts w:ascii="Calibri" w:hAnsi="Calibri" w:asciiTheme="minorHAnsi" w:hAnsiTheme="minorHAnsi"/>
                <w:sz w:val="20"/>
                <w:szCs w:val="20"/>
                <w:lang w:eastAsia="pl-PL"/>
              </w:rPr>
            </w:pPr>
            <w:r>
              <w:rPr>
                <w:rFonts w:ascii="Calibri" w:hAnsi="Calibri" w:asciiTheme="minorHAnsi" w:hAnsiTheme="minorHAnsi"/>
                <w:sz w:val="20"/>
                <w:szCs w:val="20"/>
              </w:rPr>
              <w:t>Wykazuje zdolność dostrzegania wpływu różnych działań personalnych na motywację pracowników, charakteryzuje się aktywną postawą wobec problemów w obszarze motywowania pracowników.</w:t>
            </w:r>
          </w:p>
        </w:tc>
        <w:tc>
          <w:tcPr>
            <w:tcW w:w="127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Calibri" w:hAnsi="Calibri" w:asciiTheme="minorHAnsi" w:hAnsiTheme="minorHAnsi"/>
                <w:color w:val="FF0000"/>
                <w:sz w:val="20"/>
                <w:szCs w:val="20"/>
                <w:lang w:eastAsia="en-US"/>
              </w:rPr>
            </w:pPr>
            <w:r>
              <w:rPr>
                <w:rFonts w:ascii="Calibri" w:hAnsi="Calibri" w:asciiTheme="minorHAnsi" w:hAnsiTheme="minorHAnsi"/>
                <w:sz w:val="20"/>
                <w:szCs w:val="20"/>
              </w:rPr>
              <w:t>SPZZL_K06</w:t>
            </w:r>
          </w:p>
        </w:tc>
        <w:tc>
          <w:tcPr>
            <w:tcW w:w="12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Calibri" w:hAnsi="Calibri" w:asciiTheme="minorHAnsi" w:hAnsiTheme="minorHAnsi"/>
                <w:sz w:val="20"/>
                <w:szCs w:val="20"/>
              </w:rPr>
            </w:pPr>
            <w:r>
              <w:rPr>
                <w:rFonts w:ascii="Calibri" w:hAnsi="Calibri" w:asciiTheme="minorHAnsi" w:hAnsiTheme="minorHAnsi"/>
                <w:sz w:val="20"/>
                <w:szCs w:val="20"/>
              </w:rPr>
              <w:t>P6S_KO P6S_KR</w:t>
            </w:r>
          </w:p>
        </w:tc>
      </w:tr>
      <w:tr>
        <w:trPr>
          <w:trHeight w:val="397" w:hRule="atLeast"/>
        </w:trPr>
        <w:tc>
          <w:tcPr>
            <w:tcW w:w="9959" w:type="dxa"/>
            <w:gridSpan w:val="3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Calibri" w:hAnsi="Calibri" w:asciiTheme="minorHAnsi" w:hAnsiTheme="minorHAnsi"/>
                <w:b/>
                <w:b/>
                <w:sz w:val="20"/>
                <w:szCs w:val="20"/>
              </w:rPr>
            </w:pPr>
            <w:r>
              <w:rPr>
                <w:rStyle w:val="Domylnaczcionkaakapitu1"/>
                <w:rFonts w:eastAsia="Batang" w:ascii="Calibri" w:hAnsi="Calibri" w:asciiTheme="minorHAnsi" w:hAnsiTheme="minorHAnsi"/>
                <w:b/>
                <w:sz w:val="20"/>
                <w:szCs w:val="20"/>
              </w:rPr>
              <w:t>Metody weryfikacji efektów uczenia się</w:t>
            </w:r>
            <w:r>
              <w:rPr>
                <w:rStyle w:val="Domylnaczcionkaakapitu1"/>
                <w:rFonts w:eastAsia="Calibri" w:ascii="Calibri" w:hAnsi="Calibri" w:asciiTheme="minorHAnsi" w:hAnsiTheme="minorHAnsi"/>
                <w:b/>
                <w:sz w:val="20"/>
                <w:szCs w:val="20"/>
                <w:lang w:eastAsia="en-US"/>
              </w:rPr>
              <w:t xml:space="preserve"> dla przedmiotu (przedmiotu) w odniesieniu do form zajęć</w:t>
            </w:r>
          </w:p>
        </w:tc>
      </w:tr>
      <w:tr>
        <w:trPr>
          <w:trHeight w:val="420" w:hRule="atLeast"/>
          <w:cantSplit w:val="true"/>
        </w:trPr>
        <w:tc>
          <w:tcPr>
            <w:tcW w:w="2239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Calibri" w:hAnsi="Calibri" w:asciiTheme="minorHAnsi" w:hAnsiTheme="minorHAnsi"/>
                <w:b/>
                <w:b/>
                <w:sz w:val="20"/>
                <w:szCs w:val="20"/>
              </w:rPr>
            </w:pPr>
            <w:r>
              <w:rPr>
                <w:rFonts w:ascii="Calibri" w:hAnsi="Calibri" w:asciiTheme="minorHAnsi" w:hAnsiTheme="minorHAnsi"/>
                <w:b/>
                <w:sz w:val="20"/>
                <w:szCs w:val="20"/>
              </w:rPr>
              <w:t>Efekt uczenia się</w:t>
            </w:r>
          </w:p>
        </w:tc>
        <w:tc>
          <w:tcPr>
            <w:tcW w:w="7720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Calibri" w:hAnsi="Calibri" w:asciiTheme="minorHAnsi" w:hAnsiTheme="minorHAnsi"/>
                <w:sz w:val="20"/>
                <w:szCs w:val="20"/>
              </w:rPr>
            </w:pPr>
            <w:r>
              <w:rPr>
                <w:rFonts w:ascii="Calibri" w:hAnsi="Calibri" w:asciiTheme="minorHAnsi" w:hAnsiTheme="minorHAnsi"/>
                <w:b/>
                <w:sz w:val="20"/>
                <w:szCs w:val="20"/>
              </w:rPr>
              <w:t>Forma zajęć dydaktycznych</w:t>
            </w:r>
          </w:p>
        </w:tc>
      </w:tr>
      <w:tr>
        <w:trPr>
          <w:trHeight w:val="1784" w:hRule="atLeast"/>
          <w:cantSplit w:val="true"/>
        </w:trPr>
        <w:tc>
          <w:tcPr>
            <w:tcW w:w="2239" w:type="dxa"/>
            <w:gridSpan w:val="5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rPr>
                <w:rFonts w:ascii="Calibri" w:hAnsi="Calibri"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 w:ascii="Calibri" w:hAnsi="Calibri"/>
                <w:sz w:val="20"/>
                <w:szCs w:val="20"/>
              </w:rPr>
            </w:r>
          </w:p>
        </w:tc>
        <w:tc>
          <w:tcPr>
            <w:tcW w:w="7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>
            <w:pPr>
              <w:pStyle w:val="Normal"/>
              <w:snapToGrid w:val="false"/>
              <w:ind w:left="113" w:right="113" w:hanging="0"/>
              <w:jc w:val="center"/>
              <w:rPr>
                <w:rFonts w:ascii="Calibri" w:hAnsi="Calibri" w:asciiTheme="minorHAnsi" w:hAnsiTheme="minorHAnsi"/>
                <w:sz w:val="20"/>
                <w:szCs w:val="20"/>
              </w:rPr>
            </w:pPr>
            <w:r>
              <w:rPr>
                <w:rFonts w:ascii="Calibri" w:hAnsi="Calibri" w:asciiTheme="minorHAnsi" w:hAnsiTheme="minorHAnsi"/>
                <w:sz w:val="20"/>
                <w:szCs w:val="20"/>
              </w:rPr>
              <w:t>Egzamin ustny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>
            <w:pPr>
              <w:pStyle w:val="Normal"/>
              <w:snapToGrid w:val="false"/>
              <w:ind w:left="113" w:right="113" w:hanging="0"/>
              <w:jc w:val="center"/>
              <w:rPr>
                <w:rFonts w:ascii="Calibri" w:hAnsi="Calibri" w:asciiTheme="minorHAnsi" w:hAnsiTheme="minorHAnsi"/>
                <w:sz w:val="20"/>
                <w:szCs w:val="20"/>
              </w:rPr>
            </w:pPr>
            <w:r>
              <w:rPr>
                <w:rFonts w:ascii="Calibri" w:hAnsi="Calibri" w:asciiTheme="minorHAnsi" w:hAnsiTheme="minorHAnsi"/>
                <w:sz w:val="20"/>
                <w:szCs w:val="20"/>
              </w:rPr>
              <w:t>Egzamin pisemny</w:t>
            </w:r>
          </w:p>
        </w:tc>
        <w:tc>
          <w:tcPr>
            <w:tcW w:w="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>
            <w:pPr>
              <w:pStyle w:val="Normal"/>
              <w:snapToGrid w:val="false"/>
              <w:ind w:left="113" w:right="113" w:hanging="0"/>
              <w:jc w:val="center"/>
              <w:rPr>
                <w:rFonts w:ascii="Calibri" w:hAnsi="Calibri" w:asciiTheme="minorHAnsi" w:hAnsiTheme="minorHAnsi"/>
                <w:sz w:val="20"/>
                <w:szCs w:val="20"/>
              </w:rPr>
            </w:pPr>
            <w:r>
              <w:rPr>
                <w:rFonts w:ascii="Calibri" w:hAnsi="Calibri" w:asciiTheme="minorHAnsi" w:hAnsiTheme="minorHAnsi"/>
                <w:sz w:val="20"/>
                <w:szCs w:val="20"/>
              </w:rPr>
              <w:t>Cząstkowa praca pisemna</w:t>
            </w:r>
          </w:p>
        </w:tc>
        <w:tc>
          <w:tcPr>
            <w:tcW w:w="7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>
            <w:pPr>
              <w:pStyle w:val="Normal"/>
              <w:snapToGrid w:val="false"/>
              <w:ind w:left="113" w:right="113" w:hanging="0"/>
              <w:jc w:val="center"/>
              <w:rPr>
                <w:rFonts w:ascii="Calibri" w:hAnsi="Calibri" w:asciiTheme="minorHAnsi" w:hAnsiTheme="minorHAnsi"/>
                <w:sz w:val="20"/>
                <w:szCs w:val="20"/>
              </w:rPr>
            </w:pPr>
            <w:r>
              <w:rPr>
                <w:rFonts w:ascii="Calibri" w:hAnsi="Calibri" w:asciiTheme="minorHAnsi" w:hAnsiTheme="minorHAnsi"/>
                <w:sz w:val="20"/>
                <w:szCs w:val="20"/>
              </w:rPr>
              <w:t>Praca pisemna końcowa (np. esej)</w:t>
            </w:r>
          </w:p>
        </w:tc>
        <w:tc>
          <w:tcPr>
            <w:tcW w:w="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>
            <w:pPr>
              <w:pStyle w:val="Normal"/>
              <w:snapToGrid w:val="false"/>
              <w:ind w:left="113" w:right="113" w:hanging="0"/>
              <w:jc w:val="center"/>
              <w:rPr>
                <w:rFonts w:ascii="Calibri" w:hAnsi="Calibri" w:asciiTheme="minorHAnsi" w:hAnsiTheme="minorHAnsi"/>
                <w:sz w:val="20"/>
                <w:szCs w:val="20"/>
              </w:rPr>
            </w:pPr>
            <w:r>
              <w:rPr>
                <w:rFonts w:ascii="Calibri" w:hAnsi="Calibri" w:asciiTheme="minorHAnsi" w:hAnsiTheme="minorHAnsi"/>
                <w:sz w:val="20"/>
                <w:szCs w:val="20"/>
              </w:rPr>
              <w:t>Kolokwium</w:t>
            </w:r>
          </w:p>
        </w:tc>
        <w:tc>
          <w:tcPr>
            <w:tcW w:w="8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>
            <w:pPr>
              <w:pStyle w:val="Normal"/>
              <w:snapToGrid w:val="false"/>
              <w:ind w:left="113" w:right="113" w:hanging="0"/>
              <w:jc w:val="center"/>
              <w:rPr>
                <w:rFonts w:ascii="Calibri" w:hAnsi="Calibri" w:asciiTheme="minorHAnsi" w:hAnsiTheme="minorHAnsi"/>
                <w:sz w:val="20"/>
                <w:szCs w:val="20"/>
              </w:rPr>
            </w:pPr>
            <w:r>
              <w:rPr>
                <w:rFonts w:ascii="Calibri" w:hAnsi="Calibri" w:asciiTheme="minorHAnsi" w:hAnsiTheme="minorHAnsi"/>
                <w:sz w:val="20"/>
                <w:szCs w:val="20"/>
              </w:rPr>
              <w:t>Prezentacja</w:t>
            </w:r>
          </w:p>
        </w:tc>
        <w:tc>
          <w:tcPr>
            <w:tcW w:w="81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>
            <w:pPr>
              <w:pStyle w:val="Normal"/>
              <w:snapToGrid w:val="false"/>
              <w:ind w:left="113" w:right="113" w:hanging="0"/>
              <w:jc w:val="center"/>
              <w:rPr>
                <w:rFonts w:ascii="Calibri" w:hAnsi="Calibri" w:asciiTheme="minorHAnsi" w:hAnsiTheme="minorHAnsi"/>
                <w:sz w:val="20"/>
                <w:szCs w:val="20"/>
              </w:rPr>
            </w:pPr>
            <w:r>
              <w:rPr>
                <w:rFonts w:ascii="Calibri" w:hAnsi="Calibri" w:asciiTheme="minorHAnsi" w:hAnsiTheme="minorHAnsi"/>
                <w:sz w:val="20"/>
                <w:szCs w:val="20"/>
              </w:rPr>
              <w:t>Sprawozdanie</w:t>
            </w:r>
          </w:p>
        </w:tc>
        <w:tc>
          <w:tcPr>
            <w:tcW w:w="10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>
            <w:pPr>
              <w:pStyle w:val="Normal"/>
              <w:snapToGrid w:val="false"/>
              <w:ind w:left="113" w:right="113" w:hanging="0"/>
              <w:jc w:val="center"/>
              <w:rPr>
                <w:rFonts w:ascii="Calibri" w:hAnsi="Calibri" w:asciiTheme="minorHAnsi" w:hAnsiTheme="minorHAnsi"/>
                <w:sz w:val="20"/>
                <w:szCs w:val="20"/>
              </w:rPr>
            </w:pPr>
            <w:r>
              <w:rPr>
                <w:rFonts w:ascii="Calibri" w:hAnsi="Calibri" w:asciiTheme="minorHAnsi" w:hAnsiTheme="minorHAnsi"/>
                <w:sz w:val="20"/>
                <w:szCs w:val="20"/>
              </w:rPr>
              <w:t>Aktywność na zajęciach</w:t>
            </w:r>
          </w:p>
        </w:tc>
        <w:tc>
          <w:tcPr>
            <w:tcW w:w="146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>
            <w:pPr>
              <w:pStyle w:val="Normal"/>
              <w:snapToGrid w:val="false"/>
              <w:ind w:left="113" w:right="113" w:hanging="0"/>
              <w:jc w:val="center"/>
              <w:rPr>
                <w:rFonts w:ascii="Calibri" w:hAnsi="Calibri" w:asciiTheme="minorHAnsi" w:hAnsiTheme="minorHAnsi"/>
                <w:sz w:val="20"/>
                <w:szCs w:val="20"/>
              </w:rPr>
            </w:pPr>
            <w:r>
              <w:rPr>
                <w:rFonts w:ascii="Calibri" w:hAnsi="Calibri" w:asciiTheme="minorHAnsi" w:hAnsiTheme="minorHAnsi"/>
                <w:sz w:val="20"/>
                <w:szCs w:val="20"/>
              </w:rPr>
              <w:t>inne ...</w:t>
            </w:r>
          </w:p>
        </w:tc>
      </w:tr>
      <w:tr>
        <w:trPr>
          <w:trHeight w:val="339" w:hRule="exact"/>
        </w:trPr>
        <w:tc>
          <w:tcPr>
            <w:tcW w:w="9959" w:type="dxa"/>
            <w:gridSpan w:val="3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Calibri" w:hAnsi="Calibri" w:asciiTheme="minorHAnsi" w:hAnsiTheme="minorHAnsi"/>
                <w:sz w:val="20"/>
                <w:szCs w:val="20"/>
              </w:rPr>
            </w:pPr>
            <w:r>
              <w:rPr>
                <w:rFonts w:ascii="Calibri" w:hAnsi="Calibri" w:asciiTheme="minorHAnsi" w:hAnsiTheme="minorHAnsi"/>
                <w:sz w:val="20"/>
                <w:szCs w:val="20"/>
              </w:rPr>
              <w:t>WIEDZA</w:t>
            </w:r>
          </w:p>
        </w:tc>
      </w:tr>
      <w:tr>
        <w:trPr>
          <w:trHeight w:val="339" w:hRule="exact"/>
        </w:trPr>
        <w:tc>
          <w:tcPr>
            <w:tcW w:w="223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ascii="Calibri" w:hAnsi="Calibri" w:asciiTheme="minorHAnsi" w:hAnsiTheme="minorHAnsi"/>
                <w:sz w:val="20"/>
                <w:szCs w:val="20"/>
                <w:lang w:eastAsia="en-US"/>
              </w:rPr>
              <w:t>W1</w:t>
            </w:r>
          </w:p>
        </w:tc>
        <w:tc>
          <w:tcPr>
            <w:tcW w:w="7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 w:ascii="Calibri" w:hAnsi="Calibri"/>
                <w:sz w:val="20"/>
                <w:szCs w:val="20"/>
              </w:rPr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 w:asciiTheme="minorHAnsi" w:hAnsiTheme="minorHAnsi"/>
                <w:sz w:val="20"/>
                <w:szCs w:val="20"/>
              </w:rPr>
            </w:pPr>
            <w:r>
              <w:rPr>
                <w:rFonts w:ascii="Calibri" w:hAnsi="Calibri" w:asciiTheme="minorHAnsi" w:hAnsiTheme="minorHAnsi"/>
                <w:color w:val="00000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7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 w:asciiTheme="minorHAnsi" w:hAnsi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8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81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10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146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ascii="Calibri" w:hAnsi="Calibri"/>
                <w:sz w:val="20"/>
                <w:szCs w:val="20"/>
                <w:lang w:eastAsia="en-US"/>
              </w:rPr>
            </w:r>
          </w:p>
        </w:tc>
      </w:tr>
      <w:tr>
        <w:trPr>
          <w:trHeight w:val="339" w:hRule="exact"/>
        </w:trPr>
        <w:tc>
          <w:tcPr>
            <w:tcW w:w="223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ascii="Calibri" w:hAnsi="Calibri" w:asciiTheme="minorHAnsi" w:hAnsiTheme="minorHAnsi"/>
                <w:sz w:val="20"/>
                <w:szCs w:val="20"/>
                <w:lang w:eastAsia="en-US"/>
              </w:rPr>
              <w:t>W2</w:t>
            </w:r>
          </w:p>
        </w:tc>
        <w:tc>
          <w:tcPr>
            <w:tcW w:w="7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 w:ascii="Calibri" w:hAnsi="Calibri"/>
                <w:sz w:val="20"/>
                <w:szCs w:val="20"/>
              </w:rPr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 w:asciiTheme="minorHAnsi" w:hAnsiTheme="minorHAnsi"/>
                <w:sz w:val="20"/>
                <w:szCs w:val="20"/>
              </w:rPr>
            </w:pPr>
            <w:r>
              <w:rPr>
                <w:rFonts w:ascii="Calibri" w:hAnsi="Calibri" w:asciiTheme="minorHAnsi" w:hAnsiTheme="minorHAnsi"/>
                <w:color w:val="00000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7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 w:asciiTheme="minorHAnsi" w:hAnsi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8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81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10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146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ascii="Calibri" w:hAnsi="Calibri"/>
                <w:sz w:val="20"/>
                <w:szCs w:val="20"/>
                <w:lang w:eastAsia="en-US"/>
              </w:rPr>
            </w:r>
          </w:p>
        </w:tc>
      </w:tr>
      <w:tr>
        <w:trPr>
          <w:trHeight w:val="257" w:hRule="exact"/>
        </w:trPr>
        <w:tc>
          <w:tcPr>
            <w:tcW w:w="9959" w:type="dxa"/>
            <w:gridSpan w:val="3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Calibri" w:hAnsi="Calibri" w:asciiTheme="minorHAnsi" w:hAnsiTheme="minorHAnsi"/>
                <w:sz w:val="20"/>
                <w:szCs w:val="20"/>
              </w:rPr>
            </w:pPr>
            <w:r>
              <w:rPr>
                <w:rFonts w:ascii="Calibri" w:hAnsi="Calibri" w:asciiTheme="minorHAnsi" w:hAnsiTheme="minorHAnsi"/>
                <w:sz w:val="20"/>
                <w:szCs w:val="20"/>
              </w:rPr>
              <w:t>UMIEJĘTNOŚCI</w:t>
            </w:r>
          </w:p>
        </w:tc>
      </w:tr>
      <w:tr>
        <w:trPr>
          <w:trHeight w:val="257" w:hRule="exact"/>
        </w:trPr>
        <w:tc>
          <w:tcPr>
            <w:tcW w:w="223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ascii="Calibri" w:hAnsi="Calibri" w:asciiTheme="minorHAnsi" w:hAnsiTheme="minorHAnsi"/>
                <w:sz w:val="20"/>
                <w:szCs w:val="20"/>
                <w:lang w:eastAsia="en-US"/>
              </w:rPr>
              <w:t>U1</w:t>
            </w:r>
          </w:p>
        </w:tc>
        <w:tc>
          <w:tcPr>
            <w:tcW w:w="7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 w:ascii="Calibri" w:hAnsi="Calibri"/>
                <w:sz w:val="20"/>
                <w:szCs w:val="20"/>
              </w:rPr>
            </w:r>
          </w:p>
        </w:tc>
        <w:tc>
          <w:tcPr>
            <w:tcW w:w="8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 w:ascii="Calibri" w:hAnsi="Calibri"/>
                <w:sz w:val="20"/>
                <w:szCs w:val="20"/>
              </w:rPr>
            </w:r>
          </w:p>
        </w:tc>
        <w:tc>
          <w:tcPr>
            <w:tcW w:w="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7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 w:asciiTheme="minorHAnsi" w:hAnsi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8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 w:asciiTheme="minorHAnsi" w:hAnsi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hAnsi="Calibri" w:asciiTheme="minorHAnsi" w:hAnsiTheme="minorHAnsi"/>
                <w:color w:val="00000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1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 w:asciiTheme="minorHAnsi" w:hAnsi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10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 w:asciiTheme="minorHAnsi" w:hAnsi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hAnsi="Calibri" w:asciiTheme="minorHAnsi" w:hAnsiTheme="minorHAnsi"/>
                <w:color w:val="00000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46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ascii="Calibri" w:hAnsi="Calibri"/>
                <w:sz w:val="20"/>
                <w:szCs w:val="20"/>
                <w:lang w:eastAsia="en-US"/>
              </w:rPr>
            </w:r>
          </w:p>
        </w:tc>
      </w:tr>
      <w:tr>
        <w:trPr>
          <w:trHeight w:val="306" w:hRule="exact"/>
        </w:trPr>
        <w:tc>
          <w:tcPr>
            <w:tcW w:w="223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ascii="Calibri" w:hAnsi="Calibri" w:asciiTheme="minorHAnsi" w:hAnsiTheme="minorHAnsi"/>
                <w:sz w:val="20"/>
                <w:szCs w:val="20"/>
                <w:lang w:eastAsia="en-US"/>
              </w:rPr>
              <w:t>U2</w:t>
            </w:r>
          </w:p>
        </w:tc>
        <w:tc>
          <w:tcPr>
            <w:tcW w:w="7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 w:ascii="Calibri" w:hAnsi="Calibri"/>
                <w:sz w:val="20"/>
                <w:szCs w:val="20"/>
              </w:rPr>
            </w:r>
          </w:p>
        </w:tc>
        <w:tc>
          <w:tcPr>
            <w:tcW w:w="8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 w:ascii="Calibri" w:hAnsi="Calibri"/>
                <w:sz w:val="20"/>
                <w:szCs w:val="20"/>
              </w:rPr>
            </w:r>
          </w:p>
        </w:tc>
        <w:tc>
          <w:tcPr>
            <w:tcW w:w="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7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 w:asciiTheme="minorHAnsi" w:hAnsi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8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 w:asciiTheme="minorHAnsi" w:hAnsi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hAnsi="Calibri" w:asciiTheme="minorHAnsi" w:hAnsiTheme="minorHAnsi"/>
                <w:color w:val="00000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1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 w:asciiTheme="minorHAnsi" w:hAnsi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10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 w:asciiTheme="minorHAnsi" w:hAnsi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hAnsi="Calibri" w:asciiTheme="minorHAnsi" w:hAnsiTheme="minorHAnsi"/>
                <w:color w:val="00000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46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ascii="Calibri" w:hAnsi="Calibri"/>
                <w:sz w:val="20"/>
                <w:szCs w:val="20"/>
                <w:lang w:eastAsia="en-US"/>
              </w:rPr>
            </w:r>
          </w:p>
        </w:tc>
      </w:tr>
      <w:tr>
        <w:trPr>
          <w:trHeight w:val="306" w:hRule="exact"/>
        </w:trPr>
        <w:tc>
          <w:tcPr>
            <w:tcW w:w="223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ascii="Calibri" w:hAnsi="Calibri" w:asciiTheme="minorHAnsi" w:hAnsiTheme="minorHAnsi"/>
                <w:sz w:val="20"/>
                <w:szCs w:val="20"/>
                <w:lang w:eastAsia="en-US"/>
              </w:rPr>
              <w:t>U3</w:t>
            </w:r>
          </w:p>
        </w:tc>
        <w:tc>
          <w:tcPr>
            <w:tcW w:w="7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 w:ascii="Calibri" w:hAnsi="Calibri"/>
                <w:sz w:val="20"/>
                <w:szCs w:val="20"/>
              </w:rPr>
            </w:r>
          </w:p>
        </w:tc>
        <w:tc>
          <w:tcPr>
            <w:tcW w:w="8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 w:ascii="Calibri" w:hAnsi="Calibri"/>
                <w:sz w:val="20"/>
                <w:szCs w:val="20"/>
              </w:rPr>
            </w:r>
          </w:p>
        </w:tc>
        <w:tc>
          <w:tcPr>
            <w:tcW w:w="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7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 w:asciiTheme="minorHAnsi" w:hAnsi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8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 w:asciiTheme="minorHAnsi" w:hAnsi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hAnsi="Calibri" w:asciiTheme="minorHAnsi" w:hAnsiTheme="minorHAnsi"/>
                <w:color w:val="00000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1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 w:asciiTheme="minorHAnsi" w:hAnsi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10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 w:asciiTheme="minorHAnsi" w:hAnsi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hAnsi="Calibri" w:asciiTheme="minorHAnsi" w:hAnsiTheme="minorHAnsi"/>
                <w:color w:val="00000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46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ascii="Calibri" w:hAnsi="Calibri"/>
                <w:sz w:val="20"/>
                <w:szCs w:val="20"/>
                <w:lang w:eastAsia="en-US"/>
              </w:rPr>
            </w:r>
          </w:p>
        </w:tc>
      </w:tr>
      <w:tr>
        <w:trPr>
          <w:trHeight w:val="306" w:hRule="exact"/>
        </w:trPr>
        <w:tc>
          <w:tcPr>
            <w:tcW w:w="9959" w:type="dxa"/>
            <w:gridSpan w:val="3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ascii="Calibri" w:hAnsi="Calibri" w:asciiTheme="minorHAnsi" w:hAnsiTheme="minorHAnsi"/>
                <w:sz w:val="20"/>
                <w:szCs w:val="20"/>
              </w:rPr>
              <w:t>KOMPETENCJE SPOŁECZNE</w:t>
            </w:r>
          </w:p>
        </w:tc>
      </w:tr>
      <w:tr>
        <w:trPr>
          <w:trHeight w:val="306" w:hRule="exact"/>
        </w:trPr>
        <w:tc>
          <w:tcPr>
            <w:tcW w:w="223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ascii="Calibri" w:hAnsi="Calibri" w:asciiTheme="minorHAnsi" w:hAnsiTheme="minorHAnsi"/>
                <w:sz w:val="20"/>
                <w:szCs w:val="20"/>
                <w:lang w:eastAsia="en-US"/>
              </w:rPr>
              <w:t>K1</w:t>
            </w:r>
          </w:p>
        </w:tc>
        <w:tc>
          <w:tcPr>
            <w:tcW w:w="7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 w:ascii="Calibri" w:hAnsi="Calibri"/>
                <w:sz w:val="20"/>
                <w:szCs w:val="20"/>
              </w:rPr>
            </w:r>
          </w:p>
        </w:tc>
        <w:tc>
          <w:tcPr>
            <w:tcW w:w="8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 w:ascii="Calibri" w:hAnsi="Calibri"/>
                <w:sz w:val="20"/>
                <w:szCs w:val="20"/>
              </w:rPr>
            </w:r>
          </w:p>
        </w:tc>
        <w:tc>
          <w:tcPr>
            <w:tcW w:w="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7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4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 w:asciiTheme="minorHAnsi" w:hAnsi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8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 w:asciiTheme="minorHAnsi" w:hAnsi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hAnsi="Calibri" w:asciiTheme="minorHAnsi" w:hAnsiTheme="minorHAnsi"/>
                <w:color w:val="00000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1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 w:asciiTheme="minorHAnsi" w:hAnsi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10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 w:asciiTheme="minorHAnsi" w:hAnsi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hAnsi="Calibri" w:asciiTheme="minorHAnsi" w:hAnsiTheme="minorHAnsi"/>
                <w:color w:val="00000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46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76" w:before="0" w:after="200"/>
              <w:jc w:val="center"/>
              <w:rPr>
                <w:rFonts w:ascii="Calibri" w:hAnsi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ascii="Calibri" w:hAnsi="Calibri"/>
                <w:sz w:val="20"/>
                <w:szCs w:val="20"/>
                <w:lang w:eastAsia="en-US"/>
              </w:rPr>
            </w:r>
          </w:p>
        </w:tc>
      </w:tr>
      <w:tr>
        <w:trPr>
          <w:trHeight w:val="397" w:hRule="atLeast"/>
        </w:trPr>
        <w:tc>
          <w:tcPr>
            <w:tcW w:w="9959" w:type="dxa"/>
            <w:gridSpan w:val="3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Calibri" w:hAnsi="Calibri" w:eastAsia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 w:asciiTheme="minorHAnsi" w:hAnsiTheme="minorHAnsi"/>
                <w:sz w:val="20"/>
                <w:szCs w:val="20"/>
                <w:lang w:eastAsia="en-US"/>
              </w:rPr>
              <w:t>Kryteria oceniania kompetencji studenta</w:t>
            </w:r>
          </w:p>
          <w:p>
            <w:pPr>
              <w:pStyle w:val="Normal"/>
              <w:snapToGrid w:val="false"/>
              <w:rPr>
                <w:rFonts w:ascii="Calibri" w:hAnsi="Calibri" w:eastAsia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 w:asciiTheme="minorHAnsi" w:hAnsiTheme="minorHAnsi"/>
                <w:sz w:val="20"/>
                <w:szCs w:val="20"/>
                <w:lang w:eastAsia="en-US"/>
              </w:rPr>
              <w:t>Poniżej w formie syntetycznej przedstawiono wymagania minimalne dla trzech grup efektów uczenia się, jakie Student musi uzyskać, aby zaliczyć dany przedmiot. Aby Student zaliczył dany przedmiot wszystkie efekty uczenia się opisane w sylabusie muszą być pozytywnie zweryfikowane przez osobę(y) prowadzącą(e) zajęcia w ramach danego przedmiotu.</w:t>
            </w:r>
          </w:p>
          <w:p>
            <w:pPr>
              <w:pStyle w:val="Normal"/>
              <w:snapToGrid w:val="false"/>
              <w:rPr>
                <w:rFonts w:ascii="Calibri" w:hAnsi="Calibri" w:eastAsia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 w:asciiTheme="minorHAnsi" w:hAnsiTheme="minorHAnsi"/>
                <w:sz w:val="20"/>
                <w:szCs w:val="20"/>
                <w:lang w:eastAsia="en-US"/>
              </w:rPr>
              <w:t>W - WIEDZA</w:t>
              <w:tab/>
              <w:t>Ocena:</w:t>
            </w:r>
          </w:p>
          <w:p>
            <w:pPr>
              <w:pStyle w:val="Normal"/>
              <w:snapToGrid w:val="false"/>
              <w:rPr>
                <w:rFonts w:ascii="Calibri" w:hAnsi="Calibri" w:eastAsia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 w:asciiTheme="minorHAnsi" w:hAnsiTheme="minorHAnsi"/>
                <w:sz w:val="20"/>
                <w:szCs w:val="20"/>
                <w:lang w:eastAsia="en-US"/>
              </w:rPr>
              <w:t>Dostateczny i dostateczny plus – Student zapamiętuje i odtwarza wiedzę przewidzianą do opanowania w ramach przedmiotu;</w:t>
            </w:r>
          </w:p>
          <w:p>
            <w:pPr>
              <w:pStyle w:val="Normal"/>
              <w:snapToGrid w:val="false"/>
              <w:rPr>
                <w:rFonts w:ascii="Calibri" w:hAnsi="Calibri" w:eastAsia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 w:asciiTheme="minorHAnsi" w:hAnsiTheme="minorHAnsi"/>
                <w:sz w:val="20"/>
                <w:szCs w:val="20"/>
                <w:lang w:eastAsia="en-US"/>
              </w:rPr>
              <w:t>Dobry i dobry plus – Student dodatkowo interpretuje zjawiska/problemy i potrafi rozwiązać typowy problem;</w:t>
            </w:r>
          </w:p>
          <w:p>
            <w:pPr>
              <w:pStyle w:val="Normal"/>
              <w:snapToGrid w:val="false"/>
              <w:rPr>
                <w:rFonts w:ascii="Calibri" w:hAnsi="Calibri" w:eastAsia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 w:asciiTheme="minorHAnsi" w:hAnsiTheme="minorHAnsi"/>
                <w:sz w:val="20"/>
                <w:szCs w:val="20"/>
                <w:lang w:eastAsia="en-US"/>
              </w:rPr>
              <w:t>Bardzo dobry – Student potrafi rozwiązywać nawet złożone problemy z danej dziedziny, potrafi dokonać syntezy, przeprowadzić wszechstronną ocenę, stworzyć dzieło oryginalne, inspirujące innych.</w:t>
            </w:r>
          </w:p>
          <w:p>
            <w:pPr>
              <w:pStyle w:val="Normal"/>
              <w:snapToGrid w:val="false"/>
              <w:rPr>
                <w:rFonts w:ascii="Calibri" w:hAnsi="Calibri" w:eastAsia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 w:asciiTheme="minorHAnsi" w:hAnsiTheme="minorHAnsi"/>
                <w:sz w:val="20"/>
                <w:szCs w:val="20"/>
                <w:lang w:eastAsia="en-US"/>
              </w:rPr>
              <w:t>U - UMIEJĘTNOŚCI</w:t>
              <w:tab/>
              <w:t>Ocena:</w:t>
            </w:r>
          </w:p>
          <w:p>
            <w:pPr>
              <w:pStyle w:val="Normal"/>
              <w:snapToGrid w:val="false"/>
              <w:rPr>
                <w:rFonts w:ascii="Calibri" w:hAnsi="Calibri" w:eastAsia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 w:asciiTheme="minorHAnsi" w:hAnsiTheme="minorHAnsi"/>
                <w:sz w:val="20"/>
                <w:szCs w:val="20"/>
                <w:lang w:eastAsia="en-US"/>
              </w:rPr>
              <w:t>Dostateczny i dostateczny plus – Student orientuje się w charakterze czynności, potrafi pod kierunkiem nauczyciela akademickiego wykonać czynności/rozwiązać problemy dotyczące treści przedmiotu;</w:t>
            </w:r>
          </w:p>
          <w:p>
            <w:pPr>
              <w:pStyle w:val="Normal"/>
              <w:snapToGrid w:val="false"/>
              <w:rPr>
                <w:rFonts w:ascii="Calibri" w:hAnsi="Calibri" w:eastAsia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 w:asciiTheme="minorHAnsi" w:hAnsiTheme="minorHAnsi"/>
                <w:sz w:val="20"/>
                <w:szCs w:val="20"/>
                <w:lang w:eastAsia="en-US"/>
              </w:rPr>
              <w:t>Dobry i dobry plus – Student potrafi samodzielnie wykonać czynności/zadania/rozwiązać typowe problemy dotyczące treści przedmiotu;</w:t>
            </w:r>
          </w:p>
          <w:p>
            <w:pPr>
              <w:pStyle w:val="Normal"/>
              <w:snapToGrid w:val="false"/>
              <w:rPr>
                <w:rFonts w:ascii="Calibri" w:hAnsi="Calibri" w:eastAsia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 w:asciiTheme="minorHAnsi" w:hAnsiTheme="minorHAnsi"/>
                <w:sz w:val="20"/>
                <w:szCs w:val="20"/>
                <w:lang w:eastAsia="en-US"/>
              </w:rPr>
              <w:t>Bardzo dobry – Student posiada w pełni opanowaną umiejętność/zdolność wykonania przewidzianych w treściach przedmiotu czynności/zadań/problemów także w bardziej złożonych przypadkach.</w:t>
            </w:r>
          </w:p>
          <w:p>
            <w:pPr>
              <w:pStyle w:val="Normal"/>
              <w:snapToGrid w:val="false"/>
              <w:rPr>
                <w:rFonts w:ascii="Calibri" w:hAnsi="Calibri" w:eastAsia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 w:asciiTheme="minorHAnsi" w:hAnsiTheme="minorHAnsi"/>
                <w:sz w:val="20"/>
                <w:szCs w:val="20"/>
                <w:lang w:eastAsia="en-US"/>
              </w:rPr>
              <w:t>K - KOMPETENCJE SPOŁECZNE</w:t>
              <w:tab/>
              <w:t>Ocena:</w:t>
            </w:r>
          </w:p>
          <w:p>
            <w:pPr>
              <w:pStyle w:val="Normal"/>
              <w:snapToGrid w:val="false"/>
              <w:rPr>
                <w:rFonts w:ascii="Calibri" w:hAnsi="Calibri" w:eastAsia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 w:asciiTheme="minorHAnsi" w:hAnsiTheme="minorHAnsi"/>
                <w:sz w:val="20"/>
                <w:szCs w:val="20"/>
                <w:lang w:eastAsia="en-US"/>
              </w:rPr>
              <w:t>Dostateczny i dostateczny plus – Student biernie przyswaja treści przedmiotu z wykazaniem zdolności do koncentracji uwagi i słuchania;</w:t>
            </w:r>
          </w:p>
          <w:p>
            <w:pPr>
              <w:pStyle w:val="Normal"/>
              <w:snapToGrid w:val="false"/>
              <w:rPr>
                <w:rFonts w:ascii="Calibri" w:hAnsi="Calibri" w:eastAsia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 w:asciiTheme="minorHAnsi" w:hAnsiTheme="minorHAnsi"/>
                <w:sz w:val="20"/>
                <w:szCs w:val="20"/>
                <w:lang w:eastAsia="en-US"/>
              </w:rPr>
              <w:t>Dobry i dobry plus – Student aktywnie uczestniczy w zajęciach, dokonuje ocen wartościujących według kryteriów przyjętych w danej dziedzinie, potrafi aktywnie współdziałać w obrębie grupy;</w:t>
            </w:r>
          </w:p>
          <w:p>
            <w:pPr>
              <w:pStyle w:val="Normal"/>
              <w:snapToGrid w:val="false"/>
              <w:rPr>
                <w:rFonts w:ascii="Calibri" w:hAnsi="Calibri" w:eastAsia="Calibri" w:asciiTheme="minorHAnsi" w:hAnsiTheme="minorHAnsi"/>
                <w:b/>
                <w:b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 w:asciiTheme="minorHAnsi" w:hAnsiTheme="minorHAnsi"/>
                <w:sz w:val="20"/>
                <w:szCs w:val="20"/>
                <w:lang w:eastAsia="en-US"/>
              </w:rPr>
              <w:t>Bardzo dobry – Student dokonuje integracji postawy zgodnie z sugerowanym wzorcem, rozwija własny system wartości zawodowych i społecznych, potrafi przyjąć odpowiedzialność za działanie grupy, obejmując w niej przewodnictwo.</w:t>
            </w:r>
          </w:p>
        </w:tc>
      </w:tr>
      <w:tr>
        <w:trPr>
          <w:trHeight w:val="397" w:hRule="atLeast"/>
        </w:trPr>
        <w:tc>
          <w:tcPr>
            <w:tcW w:w="8500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Calibri" w:hAnsi="Calibri" w:eastAsia="Calibri" w:asciiTheme="minorHAnsi" w:hAnsiTheme="minorHAnsi"/>
                <w:b/>
                <w:b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 w:asciiTheme="minorHAnsi" w:hAnsiTheme="minorHAnsi"/>
                <w:b/>
                <w:sz w:val="20"/>
                <w:szCs w:val="20"/>
                <w:lang w:eastAsia="en-US"/>
              </w:rPr>
              <w:t>Treść przedmiotu uczenia się (program wykładów i pozostałych zajęć)</w:t>
            </w:r>
          </w:p>
        </w:tc>
        <w:tc>
          <w:tcPr>
            <w:tcW w:w="145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Calibri" w:hAnsi="Calibri" w:eastAsia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 w:asciiTheme="minorHAnsi" w:hAnsiTheme="minorHAnsi"/>
                <w:b/>
                <w:sz w:val="20"/>
                <w:szCs w:val="20"/>
                <w:lang w:eastAsia="en-US"/>
              </w:rPr>
              <w:t>Odniesienie do efektów uczenia się</w:t>
            </w:r>
          </w:p>
        </w:tc>
      </w:tr>
      <w:tr>
        <w:trPr>
          <w:trHeight w:val="397" w:hRule="atLeast"/>
        </w:trPr>
        <w:tc>
          <w:tcPr>
            <w:tcW w:w="8500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jc w:val="both"/>
              <w:rPr>
                <w:rFonts w:ascii="Calibri" w:hAnsi="Calibri" w:asciiTheme="minorHAnsi" w:hAnsiTheme="minorHAnsi"/>
                <w:b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Calibri" w:hAnsi="Calibri" w:asciiTheme="minorHAnsi" w:hAnsiTheme="minorHAnsi"/>
                <w:sz w:val="20"/>
                <w:szCs w:val="20"/>
                <w:lang w:eastAsia="pl-PL"/>
              </w:rPr>
              <w:t>Wprowadzenie do przedmiotu. Ocena pracownicza. Proces oceniania. Elementy systemu oceniania pracowników. Istota motywacji i motywowania. Motywacja do pracy. Narzędzia motywowania pracowników. Teorie motywacji do pracy. Modele procesu motywacyjnego. System motywowania pracowników. Pojęcie wynagrodzenia i jego podział. Funkcje i formy wynagrodzeń. Polityka i strategia wynagradzania. Założenia, zasady i specyfika systemu wynagradzania. Rodzaje, znaczenie i wpływ systemów wynagradzania.</w:t>
            </w:r>
            <w:r>
              <w:rPr>
                <w:rFonts w:ascii="Calibri" w:hAnsi="Calibri" w:asciiTheme="minorHAnsi" w:hAnsiTheme="minorHAnsi"/>
                <w:b/>
                <w:bCs/>
                <w:sz w:val="20"/>
                <w:szCs w:val="20"/>
                <w:lang w:eastAsia="pl-PL"/>
              </w:rPr>
              <w:t xml:space="preserve"> </w:t>
            </w:r>
          </w:p>
          <w:p>
            <w:pPr>
              <w:pStyle w:val="Normal"/>
              <w:suppressAutoHyphens w:val="false"/>
              <w:jc w:val="both"/>
              <w:rPr>
                <w:rFonts w:ascii="Calibri" w:hAnsi="Calibri" w:asciiTheme="minorHAnsi" w:hAnsiTheme="minorHAnsi"/>
                <w:sz w:val="20"/>
                <w:szCs w:val="20"/>
                <w:lang w:eastAsia="pl-PL"/>
              </w:rPr>
            </w:pPr>
            <w:r>
              <w:rPr>
                <w:rFonts w:asciiTheme="minorHAnsi" w:hAnsiTheme="minorHAnsi" w:ascii="Calibri" w:hAnsi="Calibri"/>
                <w:sz w:val="20"/>
                <w:szCs w:val="20"/>
                <w:lang w:eastAsia="pl-PL"/>
              </w:rPr>
            </w:r>
          </w:p>
          <w:p>
            <w:pPr>
              <w:pStyle w:val="Normal"/>
              <w:suppressAutoHyphens w:val="false"/>
              <w:jc w:val="both"/>
              <w:rPr>
                <w:rFonts w:ascii="Calibri" w:hAnsi="Calibri" w:asciiTheme="minorHAnsi" w:hAnsiTheme="minorHAnsi"/>
                <w:sz w:val="20"/>
                <w:szCs w:val="20"/>
                <w:lang w:eastAsia="pl-PL"/>
              </w:rPr>
            </w:pPr>
            <w:r>
              <w:rPr>
                <w:rFonts w:ascii="Calibri" w:hAnsi="Calibri" w:asciiTheme="minorHAnsi" w:hAnsiTheme="minorHAnsi"/>
                <w:sz w:val="20"/>
                <w:szCs w:val="20"/>
                <w:lang w:eastAsia="pl-PL"/>
              </w:rPr>
              <w:t>Projektowanie i implementacja systemu oceniania pracowników – aspekty praktyczne. Konstruowanie i analiza systemu motywowania pracowników w organizacji – aspekty praktyczne. Budowa i wdrażanie systemu wynagradzania – aspekty praktyczne.</w:t>
            </w:r>
          </w:p>
        </w:tc>
        <w:tc>
          <w:tcPr>
            <w:tcW w:w="145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rPr>
                <w:rFonts w:ascii="Calibri" w:hAnsi="Calibri" w:eastAsia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</w:r>
          </w:p>
          <w:p>
            <w:pPr>
              <w:pStyle w:val="Normal"/>
              <w:rPr>
                <w:rFonts w:ascii="Calibri" w:hAnsi="Calibri" w:eastAsia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</w:r>
          </w:p>
          <w:p>
            <w:pPr>
              <w:pStyle w:val="Normal"/>
              <w:rPr>
                <w:rFonts w:ascii="Calibri" w:hAnsi="Calibri" w:eastAsia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 w:asciiTheme="minorHAnsi" w:hAnsiTheme="minorHAnsi"/>
                <w:sz w:val="20"/>
                <w:szCs w:val="20"/>
                <w:lang w:eastAsia="en-US"/>
              </w:rPr>
              <w:t>W1, W2</w:t>
            </w:r>
          </w:p>
          <w:p>
            <w:pPr>
              <w:pStyle w:val="Normal"/>
              <w:rPr>
                <w:rFonts w:ascii="Calibri" w:hAnsi="Calibri" w:eastAsia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</w:r>
          </w:p>
          <w:p>
            <w:pPr>
              <w:pStyle w:val="Normal"/>
              <w:rPr>
                <w:rFonts w:ascii="Calibri" w:hAnsi="Calibri" w:eastAsia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</w:r>
          </w:p>
          <w:p>
            <w:pPr>
              <w:pStyle w:val="Normal"/>
              <w:rPr>
                <w:rFonts w:ascii="Calibri" w:hAnsi="Calibri" w:eastAsia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</w:r>
          </w:p>
          <w:p>
            <w:pPr>
              <w:pStyle w:val="Normal"/>
              <w:rPr>
                <w:rFonts w:ascii="Calibri" w:hAnsi="Calibri" w:eastAsia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</w:r>
          </w:p>
          <w:p>
            <w:pPr>
              <w:pStyle w:val="Normal"/>
              <w:rPr>
                <w:rFonts w:ascii="Calibri" w:hAnsi="Calibri" w:eastAsia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 w:asciiTheme="minorHAnsi" w:hAnsiTheme="minorHAnsi"/>
                <w:sz w:val="20"/>
                <w:szCs w:val="20"/>
                <w:lang w:eastAsia="en-US"/>
              </w:rPr>
              <w:t>U1, U2, U3, K1</w:t>
            </w:r>
          </w:p>
          <w:p>
            <w:pPr>
              <w:pStyle w:val="Normal"/>
              <w:rPr>
                <w:rFonts w:ascii="Calibri" w:hAnsi="Calibri" w:eastAsia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</w:r>
          </w:p>
        </w:tc>
      </w:tr>
      <w:tr>
        <w:trPr>
          <w:trHeight w:val="397" w:hRule="atLeast"/>
        </w:trPr>
        <w:tc>
          <w:tcPr>
            <w:tcW w:w="9959" w:type="dxa"/>
            <w:gridSpan w:val="3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Calibri" w:hAnsi="Calibri" w:eastAsia="Calibri" w:asciiTheme="minorHAnsi" w:hAnsiTheme="minorHAns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 w:asciiTheme="minorHAnsi" w:hAnsiTheme="minorHAnsi"/>
                <w:b/>
                <w:sz w:val="20"/>
                <w:szCs w:val="20"/>
                <w:lang w:eastAsia="en-US"/>
              </w:rPr>
              <w:t>Zalecana literatura i pomoce naukowe</w:t>
            </w:r>
          </w:p>
        </w:tc>
      </w:tr>
      <w:tr>
        <w:trPr>
          <w:trHeight w:val="1691" w:hRule="atLeast"/>
        </w:trPr>
        <w:tc>
          <w:tcPr>
            <w:tcW w:w="9959" w:type="dxa"/>
            <w:gridSpan w:val="3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Web"/>
              <w:spacing w:before="0" w:after="0"/>
              <w:rPr>
                <w:rFonts w:ascii="Calibri" w:hAnsi="Calibri" w:asciiTheme="minorHAnsi" w:hAnsiTheme="minorHAnsi"/>
                <w:b/>
                <w:b/>
                <w:sz w:val="20"/>
                <w:szCs w:val="20"/>
              </w:rPr>
            </w:pPr>
            <w:r>
              <w:rPr>
                <w:rFonts w:ascii="Calibri" w:hAnsi="Calibri" w:asciiTheme="minorHAnsi" w:hAnsiTheme="minorHAnsi"/>
                <w:b/>
                <w:sz w:val="20"/>
                <w:szCs w:val="20"/>
              </w:rPr>
              <w:t>Literatura podstawowa:</w:t>
            </w:r>
          </w:p>
          <w:p>
            <w:pPr>
              <w:pStyle w:val="Przypisdolny"/>
              <w:numPr>
                <w:ilvl w:val="0"/>
                <w:numId w:val="1"/>
              </w:numPr>
              <w:tabs>
                <w:tab w:val="clear" w:pos="708"/>
                <w:tab w:val="left" w:pos="720" w:leader="none"/>
              </w:tabs>
              <w:suppressAutoHyphens w:val="false"/>
              <w:spacing w:before="0" w:after="0"/>
              <w:jc w:val="both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="Calibri" w:hAnsi="Calibri" w:asciiTheme="minorHAnsi" w:hAnsiTheme="minorHAnsi"/>
                <w:sz w:val="20"/>
              </w:rPr>
              <w:t xml:space="preserve">J. Woźniak, </w:t>
            </w:r>
            <w:r>
              <w:rPr>
                <w:rFonts w:ascii="Calibri" w:hAnsi="Calibri" w:asciiTheme="minorHAnsi" w:hAnsiTheme="minorHAnsi"/>
                <w:i/>
                <w:iCs/>
                <w:sz w:val="20"/>
              </w:rPr>
              <w:t>Współczesne systemy motywacyjne</w:t>
            </w:r>
            <w:r>
              <w:rPr>
                <w:rFonts w:ascii="Calibri" w:hAnsi="Calibri" w:asciiTheme="minorHAnsi" w:hAnsiTheme="minorHAnsi"/>
                <w:sz w:val="20"/>
              </w:rPr>
              <w:t>, PWN, Warszawa 2022.</w:t>
            </w:r>
          </w:p>
          <w:p>
            <w:pPr>
              <w:pStyle w:val="Przypisdolny"/>
              <w:numPr>
                <w:ilvl w:val="0"/>
                <w:numId w:val="1"/>
              </w:numPr>
              <w:tabs>
                <w:tab w:val="clear" w:pos="708"/>
                <w:tab w:val="left" w:pos="720" w:leader="none"/>
              </w:tabs>
              <w:suppressAutoHyphens w:val="false"/>
              <w:spacing w:before="0" w:after="0"/>
              <w:jc w:val="both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="Calibri" w:hAnsi="Calibri" w:asciiTheme="minorHAnsi" w:hAnsiTheme="minorHAnsi"/>
                <w:sz w:val="20"/>
              </w:rPr>
              <w:t xml:space="preserve">M. Sidor-Rządkowska, </w:t>
            </w:r>
            <w:r>
              <w:rPr>
                <w:rFonts w:ascii="Calibri" w:hAnsi="Calibri" w:asciiTheme="minorHAnsi" w:hAnsiTheme="minorHAnsi"/>
                <w:i/>
                <w:iCs/>
                <w:sz w:val="20"/>
              </w:rPr>
              <w:t>Kompetencyjne systemy ocen pracowników. Przygotowanie, wdrażanie i integrowanie z innymi systemami ZZL</w:t>
            </w:r>
            <w:r>
              <w:rPr>
                <w:rFonts w:ascii="Calibri" w:hAnsi="Calibri" w:asciiTheme="minorHAnsi" w:hAnsiTheme="minorHAnsi"/>
                <w:sz w:val="20"/>
              </w:rPr>
              <w:t>, Wolters Kluwer Polska, Warszawa 2020.</w:t>
            </w:r>
          </w:p>
          <w:p>
            <w:pPr>
              <w:pStyle w:val="Przypisdolny"/>
              <w:numPr>
                <w:ilvl w:val="0"/>
                <w:numId w:val="1"/>
              </w:numPr>
              <w:tabs>
                <w:tab w:val="clear" w:pos="708"/>
                <w:tab w:val="left" w:pos="720" w:leader="none"/>
              </w:tabs>
              <w:suppressAutoHyphens w:val="false"/>
              <w:spacing w:before="0" w:after="0"/>
              <w:jc w:val="both"/>
              <w:rPr>
                <w:rFonts w:ascii="Calibri" w:hAnsi="Calibri" w:asciiTheme="minorHAnsi" w:hAnsiTheme="minorHAnsi"/>
                <w:sz w:val="20"/>
              </w:rPr>
            </w:pPr>
            <w:r>
              <w:rPr>
                <w:rFonts w:ascii="Calibri" w:hAnsi="Calibri" w:asciiTheme="minorHAnsi" w:hAnsiTheme="minorHAnsi"/>
                <w:sz w:val="20"/>
              </w:rPr>
              <w:t xml:space="preserve">M. Juchnowicz, H. Kinowska, T. Rostkowski, </w:t>
            </w:r>
            <w:r>
              <w:rPr>
                <w:rFonts w:ascii="Calibri" w:hAnsi="Calibri" w:asciiTheme="minorHAnsi" w:hAnsiTheme="minorHAnsi"/>
                <w:i/>
                <w:iCs/>
                <w:sz w:val="20"/>
              </w:rPr>
              <w:t>Skuteczne systemy wynagradzania w biznesie i sektorze publicznym</w:t>
            </w:r>
            <w:r>
              <w:rPr>
                <w:rFonts w:ascii="Calibri" w:hAnsi="Calibri" w:asciiTheme="minorHAnsi" w:hAnsiTheme="minorHAnsi"/>
                <w:sz w:val="20"/>
              </w:rPr>
              <w:t>, PWE, Warszawa 2022.</w:t>
            </w:r>
          </w:p>
          <w:p>
            <w:pPr>
              <w:pStyle w:val="Normal"/>
              <w:suppressAutoHyphens w:val="false"/>
              <w:rPr>
                <w:rFonts w:ascii="Calibri" w:hAnsi="Calibri" w:asciiTheme="minorHAnsi" w:hAnsiTheme="minorHAnsi"/>
                <w:b/>
                <w:b/>
                <w:sz w:val="20"/>
                <w:szCs w:val="20"/>
                <w:lang w:eastAsia="pl-PL"/>
              </w:rPr>
            </w:pPr>
            <w:r>
              <w:rPr>
                <w:rFonts w:ascii="Calibri" w:hAnsi="Calibri" w:asciiTheme="minorHAnsi" w:hAnsiTheme="minorHAnsi"/>
                <w:b/>
                <w:sz w:val="20"/>
                <w:szCs w:val="20"/>
                <w:lang w:eastAsia="pl-PL"/>
              </w:rPr>
              <w:t>Literatura uzupełniaj</w:t>
            </w:r>
            <w:r>
              <w:rPr>
                <w:rFonts w:eastAsia="TimesNewRoman" w:cs="TimesNewRoman" w:ascii="Calibri" w:hAnsi="Calibri" w:asciiTheme="minorHAnsi" w:hAnsiTheme="minorHAnsi"/>
                <w:b/>
                <w:sz w:val="20"/>
                <w:szCs w:val="20"/>
                <w:lang w:eastAsia="pl-PL"/>
              </w:rPr>
              <w:t>ą</w:t>
            </w:r>
            <w:r>
              <w:rPr>
                <w:rFonts w:ascii="Calibri" w:hAnsi="Calibri" w:asciiTheme="minorHAnsi" w:hAnsiTheme="minorHAnsi"/>
                <w:b/>
                <w:sz w:val="20"/>
                <w:szCs w:val="20"/>
                <w:lang w:eastAsia="pl-PL"/>
              </w:rPr>
              <w:t>ca:</w:t>
            </w:r>
          </w:p>
          <w:p>
            <w:pPr>
              <w:pStyle w:val="Normal"/>
              <w:numPr>
                <w:ilvl w:val="0"/>
                <w:numId w:val="2"/>
              </w:numPr>
              <w:suppressAutoHyphens w:val="false"/>
              <w:rPr>
                <w:rFonts w:ascii="Calibri" w:hAnsi="Calibri" w:asciiTheme="minorHAnsi" w:hAnsiTheme="minorHAnsi"/>
                <w:sz w:val="20"/>
                <w:szCs w:val="20"/>
                <w:lang w:eastAsia="pl-PL"/>
              </w:rPr>
            </w:pPr>
            <w:r>
              <w:rPr>
                <w:rFonts w:ascii="Calibri" w:hAnsi="Calibri" w:asciiTheme="minorHAnsi" w:hAnsiTheme="minorHAnsi"/>
                <w:sz w:val="20"/>
                <w:szCs w:val="20"/>
                <w:lang w:eastAsia="pl-PL"/>
              </w:rPr>
              <w:t xml:space="preserve">W. Kozłowski, </w:t>
            </w:r>
            <w:r>
              <w:rPr>
                <w:rFonts w:ascii="Calibri" w:hAnsi="Calibri" w:asciiTheme="minorHAnsi" w:hAnsiTheme="minorHAnsi"/>
                <w:i/>
                <w:iCs/>
                <w:sz w:val="20"/>
                <w:szCs w:val="20"/>
                <w:lang w:eastAsia="pl-PL"/>
              </w:rPr>
              <w:t>Motywowanie pracowników w organizacji</w:t>
            </w:r>
            <w:r>
              <w:rPr>
                <w:rFonts w:ascii="Calibri" w:hAnsi="Calibri" w:asciiTheme="minorHAnsi" w:hAnsiTheme="minorHAnsi"/>
                <w:sz w:val="20"/>
                <w:szCs w:val="20"/>
                <w:lang w:eastAsia="pl-PL"/>
              </w:rPr>
              <w:t>, CeDeWu, Warszawa 2020.</w:t>
            </w:r>
          </w:p>
          <w:p>
            <w:pPr>
              <w:pStyle w:val="Normal"/>
              <w:numPr>
                <w:ilvl w:val="0"/>
                <w:numId w:val="2"/>
              </w:numPr>
              <w:suppressAutoHyphens w:val="false"/>
              <w:rPr>
                <w:rFonts w:ascii="Calibri" w:hAnsi="Calibri" w:asciiTheme="minorHAnsi" w:hAnsiTheme="minorHAnsi"/>
                <w:sz w:val="20"/>
                <w:szCs w:val="20"/>
                <w:lang w:eastAsia="pl-PL"/>
              </w:rPr>
            </w:pPr>
            <w:r>
              <w:rPr>
                <w:rFonts w:ascii="Calibri" w:hAnsi="Calibri" w:asciiTheme="minorHAnsi" w:hAnsiTheme="minorHAnsi"/>
                <w:sz w:val="20"/>
                <w:szCs w:val="20"/>
                <w:lang w:eastAsia="pl-PL"/>
              </w:rPr>
              <w:t xml:space="preserve">J. Jędrzejczak, </w:t>
            </w:r>
            <w:r>
              <w:rPr>
                <w:rFonts w:ascii="Calibri" w:hAnsi="Calibri" w:asciiTheme="minorHAnsi" w:hAnsiTheme="minorHAnsi"/>
                <w:i/>
                <w:iCs/>
                <w:sz w:val="20"/>
                <w:szCs w:val="20"/>
                <w:lang w:eastAsia="pl-PL"/>
              </w:rPr>
              <w:t>Oceny okresowe pracowników. Zarządzanie przez ocenianie. Poradnik dobrych praktyk</w:t>
            </w:r>
            <w:r>
              <w:rPr>
                <w:rFonts w:ascii="Calibri" w:hAnsi="Calibri" w:asciiTheme="minorHAnsi" w:hAnsiTheme="minorHAnsi"/>
                <w:sz w:val="20"/>
                <w:szCs w:val="20"/>
                <w:lang w:eastAsia="pl-PL"/>
              </w:rPr>
              <w:t>, ODDK, Gdańsk 2016.</w:t>
            </w:r>
          </w:p>
          <w:p>
            <w:pPr>
              <w:pStyle w:val="Normal"/>
              <w:numPr>
                <w:ilvl w:val="0"/>
                <w:numId w:val="2"/>
              </w:numPr>
              <w:suppressAutoHyphens w:val="false"/>
              <w:rPr>
                <w:rFonts w:ascii="Calibri" w:hAnsi="Calibri" w:asciiTheme="minorHAnsi" w:hAnsiTheme="minorHAnsi"/>
                <w:sz w:val="20"/>
                <w:szCs w:val="20"/>
                <w:lang w:eastAsia="pl-PL"/>
              </w:rPr>
            </w:pPr>
            <w:r>
              <w:rPr>
                <w:rFonts w:ascii="Calibri" w:hAnsi="Calibri" w:asciiTheme="minorHAnsi" w:hAnsiTheme="minorHAnsi"/>
                <w:sz w:val="20"/>
                <w:szCs w:val="20"/>
                <w:lang w:eastAsia="pl-PL"/>
              </w:rPr>
              <w:t xml:space="preserve">J. Liksza (red.), </w:t>
            </w:r>
            <w:r>
              <w:rPr>
                <w:rFonts w:ascii="Calibri" w:hAnsi="Calibri" w:asciiTheme="minorHAnsi" w:hAnsiTheme="minorHAnsi"/>
                <w:i/>
                <w:iCs/>
                <w:sz w:val="20"/>
                <w:szCs w:val="20"/>
                <w:lang w:eastAsia="pl-PL"/>
              </w:rPr>
              <w:t>Budowa systemu wynagrodzeń. Teoria i praktyka</w:t>
            </w:r>
            <w:r>
              <w:rPr>
                <w:rFonts w:ascii="Calibri" w:hAnsi="Calibri" w:asciiTheme="minorHAnsi" w:hAnsiTheme="minorHAnsi"/>
                <w:sz w:val="20"/>
                <w:szCs w:val="20"/>
                <w:lang w:eastAsia="pl-PL"/>
              </w:rPr>
              <w:t>, Wolters Kluwer Polska, Warszawa 2020.</w:t>
            </w:r>
          </w:p>
        </w:tc>
      </w:tr>
      <w:tr>
        <w:trPr>
          <w:trHeight w:val="397" w:hRule="atLeast"/>
        </w:trPr>
        <w:tc>
          <w:tcPr>
            <w:tcW w:w="9952" w:type="dxa"/>
            <w:gridSpan w:val="3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Calibri" w:hAnsi="Calibri" w:eastAsia="Calibri"/>
                <w:kern w:val="2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b/>
                <w:sz w:val="20"/>
                <w:szCs w:val="20"/>
                <w:lang w:eastAsia="en-US"/>
              </w:rPr>
              <w:t>Bilans punktów ECTS</w:t>
            </w:r>
          </w:p>
        </w:tc>
        <w:tc>
          <w:tcPr>
            <w:tcW w:w="7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97" w:hRule="atLeast"/>
        </w:trPr>
        <w:tc>
          <w:tcPr>
            <w:tcW w:w="6993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Calibri" w:hAnsi="Calibri" w:eastAsia="Calibri"/>
                <w:kern w:val="2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  <w:t>Forma nakładu pracy studenta</w:t>
            </w:r>
          </w:p>
          <w:p>
            <w:pPr>
              <w:pStyle w:val="Normal"/>
              <w:jc w:val="center"/>
              <w:rPr>
                <w:rFonts w:ascii="Calibri" w:hAnsi="Calibri" w:eastAsia="Calibri"/>
                <w:kern w:val="2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  <w:t>(udział w zajęciach, aktywność, przygotowanie sprawozdania, itp.)</w:t>
            </w:r>
          </w:p>
        </w:tc>
        <w:tc>
          <w:tcPr>
            <w:tcW w:w="295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Calibri" w:hAnsi="Calibri" w:eastAsia="Calibri"/>
                <w:b/>
                <w:b/>
                <w:kern w:val="2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  <w:t>Obciążenie studenta [h]</w:t>
            </w:r>
          </w:p>
        </w:tc>
        <w:tc>
          <w:tcPr>
            <w:tcW w:w="7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97" w:hRule="atLeast"/>
        </w:trPr>
        <w:tc>
          <w:tcPr>
            <w:tcW w:w="9952" w:type="dxa"/>
            <w:gridSpan w:val="3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Calibri" w:hAnsi="Calibri" w:eastAsia="Calibri"/>
                <w:kern w:val="2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b/>
                <w:sz w:val="20"/>
                <w:szCs w:val="20"/>
                <w:lang w:eastAsia="en-US"/>
              </w:rPr>
              <w:t>Liczba godzin realizowanych przy bezpośrednim udziale nauczyciela akademickiego</w:t>
            </w:r>
          </w:p>
        </w:tc>
        <w:tc>
          <w:tcPr>
            <w:tcW w:w="7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48" w:hRule="atLeast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Calibri" w:hAnsi="Calibri" w:eastAsia="Calibr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  <w:t>1.1</w:t>
            </w:r>
          </w:p>
        </w:tc>
        <w:tc>
          <w:tcPr>
            <w:tcW w:w="636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Calibri" w:hAnsi="Calibri" w:eastAsia="Calibr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  <w:t>Udział w wykładach</w:t>
            </w:r>
          </w:p>
        </w:tc>
        <w:tc>
          <w:tcPr>
            <w:tcW w:w="295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Calibri" w:hAnsi="Calibri" w:eastAsia="Calibr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7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71" w:hRule="atLeast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Calibri" w:hAnsi="Calibri" w:eastAsia="Calibri"/>
                <w:kern w:val="2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  <w:t>1.2</w:t>
            </w:r>
          </w:p>
        </w:tc>
        <w:tc>
          <w:tcPr>
            <w:tcW w:w="636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Calibri" w:hAnsi="Calibri" w:eastAsia="Calibri"/>
                <w:kern w:val="2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  <w:t>Udział w konwersatoriach</w:t>
            </w:r>
          </w:p>
        </w:tc>
        <w:tc>
          <w:tcPr>
            <w:tcW w:w="295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/>
            </w:pPr>
            <w:r>
              <w:rPr>
                <w:rFonts w:eastAsia="Calibri" w:cs="Times New Roman" w:ascii="Calibri" w:hAnsi="Calibri"/>
                <w:kern w:val="2"/>
                <w:sz w:val="20"/>
                <w:szCs w:val="20"/>
                <w:lang w:eastAsia="en-US"/>
              </w:rPr>
              <w:t>40</w:t>
            </w:r>
          </w:p>
        </w:tc>
        <w:tc>
          <w:tcPr>
            <w:tcW w:w="7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89" w:hRule="atLeast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Calibri" w:hAnsi="Calibri" w:eastAsia="Calibri"/>
                <w:kern w:val="2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  <w:t>1.3</w:t>
            </w:r>
          </w:p>
        </w:tc>
        <w:tc>
          <w:tcPr>
            <w:tcW w:w="636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Calibri" w:hAnsi="Calibri" w:eastAsia="Calibri"/>
                <w:kern w:val="2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  <w:t>Udział w ćwiczeniach</w:t>
            </w:r>
          </w:p>
        </w:tc>
        <w:tc>
          <w:tcPr>
            <w:tcW w:w="295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Calibri" w:hAnsi="Calibri" w:eastAsia="Calibri"/>
                <w:kern w:val="2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kern w:val="2"/>
                <w:sz w:val="20"/>
                <w:szCs w:val="20"/>
                <w:lang w:eastAsia="en-US"/>
              </w:rPr>
            </w:r>
          </w:p>
        </w:tc>
        <w:tc>
          <w:tcPr>
            <w:tcW w:w="7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65" w:hRule="atLeast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Calibri" w:hAnsi="Calibri" w:eastAsia="Calibri"/>
                <w:kern w:val="2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  <w:t>1.4</w:t>
            </w:r>
          </w:p>
        </w:tc>
        <w:tc>
          <w:tcPr>
            <w:tcW w:w="636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Calibri" w:hAnsi="Calibri" w:eastAsia="Calibri"/>
                <w:kern w:val="2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  <w:t>Udział w zajęciach laboratoryjnych</w:t>
            </w:r>
          </w:p>
        </w:tc>
        <w:tc>
          <w:tcPr>
            <w:tcW w:w="295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Calibri" w:hAnsi="Calibri" w:eastAsia="Calibri"/>
                <w:kern w:val="2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kern w:val="2"/>
                <w:sz w:val="20"/>
                <w:szCs w:val="20"/>
                <w:lang w:eastAsia="en-US"/>
              </w:rPr>
            </w:r>
          </w:p>
        </w:tc>
        <w:tc>
          <w:tcPr>
            <w:tcW w:w="7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87" w:hRule="atLeast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Calibri" w:hAnsi="Calibri" w:eastAsia="Calibri"/>
                <w:kern w:val="2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  <w:t>1.5</w:t>
            </w:r>
          </w:p>
        </w:tc>
        <w:tc>
          <w:tcPr>
            <w:tcW w:w="636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Calibri" w:hAnsi="Calibri" w:eastAsia="Calibri"/>
                <w:kern w:val="2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  <w:t xml:space="preserve">Udział w konsultacjach </w:t>
            </w:r>
          </w:p>
        </w:tc>
        <w:tc>
          <w:tcPr>
            <w:tcW w:w="295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Calibri" w:hAnsi="Calibri" w:eastAsia="Calibri"/>
                <w:kern w:val="2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7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139" w:hRule="atLeast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Calibri" w:hAnsi="Calibri" w:eastAsia="Calibri"/>
                <w:kern w:val="2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  <w:t>1.6</w:t>
            </w:r>
          </w:p>
        </w:tc>
        <w:tc>
          <w:tcPr>
            <w:tcW w:w="636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Calibri" w:hAnsi="Calibri" w:eastAsia="Calibri"/>
                <w:kern w:val="2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  <w:t>Udział w egzaminie/kolokwium zaliczeniowym przedmiotu</w:t>
            </w:r>
          </w:p>
        </w:tc>
        <w:tc>
          <w:tcPr>
            <w:tcW w:w="295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Calibri" w:hAnsi="Calibri" w:eastAsia="Calibri"/>
                <w:kern w:val="2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kern w:val="2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7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99" w:hRule="atLeast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Calibri" w:hAnsi="Calibri" w:eastAsia="Calibri"/>
                <w:kern w:val="2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  <w:t>1.7</w:t>
            </w:r>
          </w:p>
        </w:tc>
        <w:tc>
          <w:tcPr>
            <w:tcW w:w="636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Calibri" w:hAnsi="Calibri" w:eastAsia="Calibri"/>
                <w:kern w:val="2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  <w:t>Inne – jakie?</w:t>
            </w:r>
          </w:p>
        </w:tc>
        <w:tc>
          <w:tcPr>
            <w:tcW w:w="295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Calibri" w:hAnsi="Calibri" w:eastAsia="Calibri"/>
                <w:kern w:val="2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kern w:val="2"/>
                <w:sz w:val="20"/>
                <w:szCs w:val="20"/>
                <w:lang w:eastAsia="en-US"/>
              </w:rPr>
            </w:r>
          </w:p>
        </w:tc>
        <w:tc>
          <w:tcPr>
            <w:tcW w:w="7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97" w:hRule="atLeast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Calibri" w:hAnsi="Calibri" w:eastAsia="Calibri"/>
                <w:b/>
                <w:b/>
                <w:kern w:val="2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b/>
                <w:sz w:val="20"/>
                <w:szCs w:val="20"/>
                <w:lang w:eastAsia="en-US"/>
              </w:rPr>
              <w:t>1.8</w:t>
            </w:r>
          </w:p>
        </w:tc>
        <w:tc>
          <w:tcPr>
            <w:tcW w:w="636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Calibri" w:hAnsi="Calibri" w:eastAsia="Calibri"/>
                <w:kern w:val="2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b/>
                <w:sz w:val="20"/>
                <w:szCs w:val="20"/>
                <w:lang w:eastAsia="en-US"/>
              </w:rPr>
              <w:t>Liczba godzin realizowanych przy bezpośrednim udziale nauczyciela akademickiego (suma pozycji 1.1 – 1.7)</w:t>
            </w:r>
          </w:p>
        </w:tc>
        <w:tc>
          <w:tcPr>
            <w:tcW w:w="295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Calibri" w:hAnsi="Calibri" w:eastAsia="Calibri"/>
                <w:b/>
                <w:b/>
                <w:kern w:val="2"/>
                <w:sz w:val="20"/>
                <w:szCs w:val="20"/>
                <w:lang w:eastAsia="en-US"/>
              </w:rPr>
            </w:pPr>
            <w:r>
              <w:rPr>
                <w:rFonts w:eastAsia="Calibri" w:cs="Times New Roman" w:ascii="Calibri" w:hAnsi="Calibri"/>
                <w:b/>
                <w:sz w:val="20"/>
                <w:szCs w:val="20"/>
                <w:lang w:eastAsia="en-US"/>
              </w:rPr>
              <w:t>4</w:t>
            </w:r>
            <w:r>
              <w:rPr>
                <w:rFonts w:eastAsia="Calibri" w:ascii="Calibri" w:hAnsi="Calibri"/>
                <w:b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7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97" w:hRule="atLeast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Calibri" w:hAnsi="Calibri" w:eastAsia="Calibri"/>
                <w:b/>
                <w:b/>
                <w:kern w:val="2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b/>
                <w:sz w:val="20"/>
                <w:szCs w:val="20"/>
                <w:lang w:eastAsia="en-US"/>
              </w:rPr>
              <w:t>1.9</w:t>
            </w:r>
          </w:p>
        </w:tc>
        <w:tc>
          <w:tcPr>
            <w:tcW w:w="636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Calibri" w:hAnsi="Calibri" w:eastAsia="Calibri"/>
                <w:kern w:val="2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b/>
                <w:sz w:val="20"/>
                <w:szCs w:val="20"/>
                <w:lang w:eastAsia="en-US"/>
              </w:rPr>
              <w:t>Liczba punktów ECTS, uzyskiwanych przez studenta podczas zajęć wymagających bezpośredniego udziału nauczyciela akademickiego)</w:t>
            </w:r>
          </w:p>
          <w:p>
            <w:pPr>
              <w:pStyle w:val="Normal"/>
              <w:rPr>
                <w:rFonts w:ascii="Calibri" w:hAnsi="Calibri" w:eastAsia="Calibri"/>
                <w:kern w:val="2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  <w:t>(1 pkt ECTS = 25 godzin obciążenia studenta, zaokrąglić do 0,1 pkt ECTS)</w:t>
            </w:r>
          </w:p>
        </w:tc>
        <w:tc>
          <w:tcPr>
            <w:tcW w:w="295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Calibri" w:hAnsi="Calibri" w:eastAsia="Calibri" w:cs="Times New Roman"/>
                <w:b/>
                <w:b/>
                <w:sz w:val="20"/>
                <w:szCs w:val="20"/>
                <w:lang w:eastAsia="en-US"/>
              </w:rPr>
            </w:pPr>
            <w:r>
              <w:rPr>
                <w:rFonts w:eastAsia="Calibri" w:cs="Times New Roman" w:ascii="Calibri" w:hAnsi="Calibri"/>
                <w:b/>
                <w:sz w:val="20"/>
                <w:szCs w:val="20"/>
                <w:lang w:eastAsia="en-US"/>
              </w:rPr>
              <w:t>1,8</w:t>
            </w:r>
          </w:p>
        </w:tc>
        <w:tc>
          <w:tcPr>
            <w:tcW w:w="7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97" w:hRule="atLeast"/>
        </w:trPr>
        <w:tc>
          <w:tcPr>
            <w:tcW w:w="9952" w:type="dxa"/>
            <w:gridSpan w:val="3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Calibri" w:hAnsi="Calibri" w:eastAsia="Calibri"/>
                <w:kern w:val="2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b/>
                <w:sz w:val="20"/>
                <w:szCs w:val="20"/>
                <w:lang w:eastAsia="en-US"/>
              </w:rPr>
              <w:t>Samodzielna praca studenta</w:t>
            </w:r>
          </w:p>
        </w:tc>
        <w:tc>
          <w:tcPr>
            <w:tcW w:w="7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199" w:hRule="atLeast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Calibri" w:hAnsi="Calibri" w:eastAsia="Calibri"/>
                <w:kern w:val="2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  <w:t>2.1</w:t>
            </w:r>
          </w:p>
        </w:tc>
        <w:tc>
          <w:tcPr>
            <w:tcW w:w="636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Calibri" w:hAnsi="Calibri" w:eastAsia="Calibri"/>
                <w:kern w:val="2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  <w:t>Przygotowanie do wykładów, ćwiczeń, kolokwiów, sprawozdań, raportów, prac semestralnych, itp.</w:t>
            </w:r>
          </w:p>
        </w:tc>
        <w:tc>
          <w:tcPr>
            <w:tcW w:w="295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Calibri" w:hAnsi="Calibri" w:eastAsia="Calibri"/>
                <w:kern w:val="2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  <w:t>1</w:t>
            </w: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7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75" w:hRule="atLeast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Calibri" w:hAnsi="Calibri" w:eastAsia="Calibri"/>
                <w:kern w:val="2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  <w:t>2.2</w:t>
            </w:r>
          </w:p>
        </w:tc>
        <w:tc>
          <w:tcPr>
            <w:tcW w:w="636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Calibri" w:hAnsi="Calibri" w:eastAsia="Calibri"/>
                <w:kern w:val="2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  <w:t>Realizacja samodzielnie wykonywanych zadań zlecanych przez prowadzącego</w:t>
            </w:r>
          </w:p>
        </w:tc>
        <w:tc>
          <w:tcPr>
            <w:tcW w:w="295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Calibri" w:hAnsi="Calibri" w:eastAsia="Calibri"/>
                <w:kern w:val="2"/>
                <w:sz w:val="20"/>
                <w:szCs w:val="20"/>
                <w:lang w:eastAsia="en-US"/>
              </w:rPr>
            </w:pPr>
            <w:r>
              <w:rPr>
                <w:rFonts w:eastAsia="Calibri" w:cs="Times New Roman" w:ascii="Calibri" w:hAnsi="Calibri"/>
                <w:sz w:val="20"/>
                <w:szCs w:val="20"/>
                <w:lang w:eastAsia="en-US"/>
              </w:rPr>
              <w:t>2</w:t>
            </w: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7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110" w:hRule="atLeast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Calibri" w:hAnsi="Calibri" w:eastAsia="Calibri"/>
                <w:kern w:val="2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  <w:t>2.3</w:t>
            </w:r>
          </w:p>
        </w:tc>
        <w:tc>
          <w:tcPr>
            <w:tcW w:w="636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Calibri" w:hAnsi="Calibri" w:eastAsia="Calibri"/>
                <w:kern w:val="2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  <w:t>Przygotowanie do kolokwium końcowego z ćwiczeń/laboratorium</w:t>
            </w:r>
          </w:p>
        </w:tc>
        <w:tc>
          <w:tcPr>
            <w:tcW w:w="295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Calibri" w:hAnsi="Calibri" w:eastAsia="Calibri"/>
                <w:kern w:val="2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kern w:val="2"/>
                <w:sz w:val="20"/>
                <w:szCs w:val="20"/>
                <w:lang w:eastAsia="en-US"/>
              </w:rPr>
            </w:r>
          </w:p>
        </w:tc>
        <w:tc>
          <w:tcPr>
            <w:tcW w:w="7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141" w:hRule="atLeast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Calibri" w:hAnsi="Calibri" w:eastAsia="Calibri"/>
                <w:kern w:val="2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  <w:t>2.4</w:t>
            </w:r>
          </w:p>
        </w:tc>
        <w:tc>
          <w:tcPr>
            <w:tcW w:w="636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Calibri" w:hAnsi="Calibri" w:eastAsia="Calibri"/>
                <w:kern w:val="2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  <w:t>Przygotowanie do egzaminu/kolokwium końcowego z wykładów</w:t>
            </w:r>
          </w:p>
        </w:tc>
        <w:tc>
          <w:tcPr>
            <w:tcW w:w="295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Calibri" w:hAnsi="Calibri" w:eastAsia="Calibri"/>
                <w:kern w:val="2"/>
                <w:sz w:val="20"/>
                <w:szCs w:val="20"/>
                <w:lang w:eastAsia="en-US"/>
              </w:rPr>
            </w:pPr>
            <w:r>
              <w:rPr>
                <w:rFonts w:eastAsia="Calibri" w:cs="Times New Roman" w:ascii="Calibri" w:hAnsi="Calibri"/>
                <w:sz w:val="20"/>
                <w:szCs w:val="20"/>
                <w:lang w:eastAsia="en-US"/>
              </w:rPr>
              <w:t>2</w:t>
            </w: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7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173" w:hRule="atLeast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Calibri" w:hAnsi="Calibri" w:eastAsia="Calibri"/>
                <w:kern w:val="2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  <w:t>2.5</w:t>
            </w:r>
          </w:p>
        </w:tc>
        <w:tc>
          <w:tcPr>
            <w:tcW w:w="636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Calibri" w:hAnsi="Calibri" w:eastAsia="Calibri"/>
                <w:kern w:val="2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  <w:t>Inne – jakie?</w:t>
            </w:r>
          </w:p>
        </w:tc>
        <w:tc>
          <w:tcPr>
            <w:tcW w:w="295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Calibri" w:hAnsi="Calibri" w:eastAsia="Calibri"/>
                <w:kern w:val="2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kern w:val="2"/>
                <w:sz w:val="20"/>
                <w:szCs w:val="20"/>
                <w:lang w:eastAsia="en-US"/>
              </w:rPr>
            </w:r>
          </w:p>
        </w:tc>
        <w:tc>
          <w:tcPr>
            <w:tcW w:w="7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05" w:hRule="atLeast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Calibri" w:hAnsi="Calibri" w:eastAsia="Calibri"/>
                <w:b/>
                <w:b/>
                <w:kern w:val="2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b/>
                <w:sz w:val="20"/>
                <w:szCs w:val="20"/>
                <w:lang w:eastAsia="en-US"/>
              </w:rPr>
              <w:t>2.6</w:t>
            </w:r>
          </w:p>
        </w:tc>
        <w:tc>
          <w:tcPr>
            <w:tcW w:w="636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Calibri" w:hAnsi="Calibri" w:eastAsia="Calibri"/>
                <w:kern w:val="2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b/>
                <w:sz w:val="20"/>
                <w:szCs w:val="20"/>
                <w:lang w:eastAsia="en-US"/>
              </w:rPr>
              <w:t>Liczba godzin samodzielnej pracy studenta (suma 2.1 – 2.5)</w:t>
            </w:r>
          </w:p>
        </w:tc>
        <w:tc>
          <w:tcPr>
            <w:tcW w:w="295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Calibri" w:hAnsi="Calibri" w:eastAsia="Calibri" w:cs="Times New Roman"/>
                <w:b/>
                <w:b/>
                <w:sz w:val="20"/>
                <w:szCs w:val="20"/>
                <w:lang w:eastAsia="en-US"/>
              </w:rPr>
            </w:pPr>
            <w:r>
              <w:rPr>
                <w:rFonts w:eastAsia="Calibri" w:cs="Times New Roman" w:ascii="Calibri" w:hAnsi="Calibri"/>
                <w:b/>
                <w:sz w:val="20"/>
                <w:szCs w:val="20"/>
                <w:lang w:eastAsia="en-US"/>
              </w:rPr>
              <w:t>56</w:t>
            </w:r>
          </w:p>
        </w:tc>
        <w:tc>
          <w:tcPr>
            <w:tcW w:w="7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97" w:hRule="atLeast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Style w:val="Domylnaczcionkaakapitu1"/>
                <w:rFonts w:ascii="Calibri" w:hAnsi="Calibri" w:eastAsia="Calibri"/>
                <w:b/>
                <w:b/>
                <w:kern w:val="2"/>
                <w:lang w:eastAsia="en-US"/>
              </w:rPr>
            </w:pPr>
            <w:r>
              <w:rPr>
                <w:rFonts w:eastAsia="Calibri" w:ascii="Calibri" w:hAnsi="Calibri"/>
                <w:b/>
                <w:sz w:val="20"/>
                <w:szCs w:val="20"/>
                <w:lang w:eastAsia="en-US"/>
              </w:rPr>
              <w:t>2.7</w:t>
            </w:r>
          </w:p>
        </w:tc>
        <w:tc>
          <w:tcPr>
            <w:tcW w:w="636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Calibri" w:hAnsi="Calibri" w:eastAsia="Calibri"/>
                <w:kern w:val="2"/>
                <w:sz w:val="20"/>
                <w:szCs w:val="20"/>
                <w:lang w:eastAsia="en-US"/>
              </w:rPr>
            </w:pPr>
            <w:r>
              <w:rPr>
                <w:rStyle w:val="Domylnaczcionkaakapitu1"/>
                <w:rFonts w:eastAsia="Calibri" w:ascii="Calibri" w:hAnsi="Calibri"/>
                <w:b/>
                <w:sz w:val="20"/>
                <w:szCs w:val="20"/>
                <w:lang w:eastAsia="en-US"/>
              </w:rPr>
              <w:t xml:space="preserve">Liczba punktów ECTS, uzyskiwanych przez studenta w ramach samodzielnej pracy </w:t>
            </w:r>
            <w:r>
              <w:rPr>
                <w:rStyle w:val="Domylnaczcionkaakapitu1"/>
                <w:rFonts w:eastAsia="Calibri" w:ascii="Calibri" w:hAnsi="Calibri"/>
                <w:sz w:val="20"/>
                <w:szCs w:val="20"/>
                <w:lang w:eastAsia="en-US"/>
              </w:rPr>
              <w:t>(1 pkt ECTS = 25 godzin obciążenia studenta, zaokrąglić do 0,1 pkt ECTS)</w:t>
            </w:r>
          </w:p>
        </w:tc>
        <w:tc>
          <w:tcPr>
            <w:tcW w:w="295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Calibri" w:hAnsi="Calibri" w:eastAsia="Calibri" w:cs="Times New Roman"/>
                <w:b/>
                <w:b/>
                <w:sz w:val="20"/>
                <w:szCs w:val="20"/>
                <w:lang w:eastAsia="en-US"/>
              </w:rPr>
            </w:pPr>
            <w:r>
              <w:rPr>
                <w:rFonts w:eastAsia="Calibri" w:cs="Times New Roman" w:ascii="Calibri" w:hAnsi="Calibri"/>
                <w:b/>
                <w:sz w:val="20"/>
                <w:szCs w:val="20"/>
                <w:lang w:eastAsia="en-US"/>
              </w:rPr>
              <w:t>2,2</w:t>
            </w:r>
          </w:p>
        </w:tc>
        <w:tc>
          <w:tcPr>
            <w:tcW w:w="7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97" w:hRule="atLeast"/>
        </w:trPr>
        <w:tc>
          <w:tcPr>
            <w:tcW w:w="6993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Calibri" w:hAnsi="Calibri" w:eastAsia="Calibri"/>
                <w:kern w:val="2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b/>
                <w:sz w:val="20"/>
                <w:szCs w:val="20"/>
                <w:lang w:eastAsia="en-US"/>
              </w:rPr>
              <w:t>Sumaryczne obciążenie pracą studenta (suma 1.8+2.6)</w:t>
            </w:r>
          </w:p>
        </w:tc>
        <w:tc>
          <w:tcPr>
            <w:tcW w:w="295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Calibri" w:hAnsi="Calibri" w:eastAsia="Calibri" w:cs="Times New Roman"/>
                <w:b/>
                <w:b/>
                <w:sz w:val="20"/>
                <w:szCs w:val="20"/>
                <w:lang w:eastAsia="en-US"/>
              </w:rPr>
            </w:pPr>
            <w:r>
              <w:rPr>
                <w:rFonts w:eastAsia="Calibri" w:cs="Times New Roman" w:ascii="Calibri" w:hAnsi="Calibri"/>
                <w:b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7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97" w:hRule="atLeast"/>
        </w:trPr>
        <w:tc>
          <w:tcPr>
            <w:tcW w:w="6993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right"/>
              <w:rPr>
                <w:rFonts w:ascii="Calibri" w:hAnsi="Calibri" w:eastAsia="Calibri"/>
                <w:b/>
                <w:b/>
                <w:kern w:val="2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b/>
                <w:sz w:val="20"/>
                <w:szCs w:val="20"/>
                <w:lang w:eastAsia="en-US"/>
              </w:rPr>
              <w:t>Punkty ECTS za przedmiot (suma 1.9+2.7)</w:t>
            </w:r>
          </w:p>
        </w:tc>
        <w:tc>
          <w:tcPr>
            <w:tcW w:w="295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Calibri" w:hAnsi="Calibri" w:eastAsia="Calibri" w:cs="Times New Roman"/>
                <w:b/>
                <w:b/>
                <w:sz w:val="20"/>
                <w:szCs w:val="20"/>
                <w:lang w:eastAsia="en-US"/>
              </w:rPr>
            </w:pPr>
            <w:r>
              <w:rPr>
                <w:rFonts w:eastAsia="Calibri" w:cs="Times New Roman" w:ascii="Calibri" w:hAnsi="Calibri"/>
                <w:b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7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97" w:hRule="atLeast"/>
        </w:trPr>
        <w:tc>
          <w:tcPr>
            <w:tcW w:w="9952" w:type="dxa"/>
            <w:gridSpan w:val="3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Calibri" w:hAnsi="Calibri" w:eastAsia="Calibri"/>
                <w:b/>
                <w:b/>
                <w:kern w:val="2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b/>
                <w:sz w:val="20"/>
                <w:szCs w:val="20"/>
                <w:lang w:eastAsia="en-US"/>
              </w:rPr>
              <w:t>Nakład pracy związany z zajęciami o charakterze kształtującym umiejętności praktyczne, w tym:</w:t>
            </w:r>
          </w:p>
        </w:tc>
        <w:tc>
          <w:tcPr>
            <w:tcW w:w="7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97" w:hRule="atLeast"/>
        </w:trPr>
        <w:tc>
          <w:tcPr>
            <w:tcW w:w="6993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Calibri" w:hAnsi="Calibri" w:eastAsia="Calibri"/>
                <w:b/>
                <w:b/>
                <w:kern w:val="2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b/>
                <w:sz w:val="20"/>
                <w:szCs w:val="20"/>
                <w:lang w:eastAsia="en-US"/>
              </w:rPr>
              <w:t>Zajęcia praktyczne (Wydział Nauk o Zdrowiu i Wydział Nauk Medycznych)</w:t>
            </w:r>
          </w:p>
        </w:tc>
        <w:tc>
          <w:tcPr>
            <w:tcW w:w="295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Calibri" w:hAnsi="Calibri" w:eastAsia="Calibri"/>
                <w:b/>
                <w:b/>
                <w:color w:val="FF0000"/>
                <w:kern w:val="2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b/>
                <w:color w:val="FF0000"/>
                <w:kern w:val="2"/>
                <w:sz w:val="20"/>
                <w:szCs w:val="20"/>
                <w:lang w:eastAsia="en-US"/>
              </w:rPr>
            </w:r>
          </w:p>
        </w:tc>
        <w:tc>
          <w:tcPr>
            <w:tcW w:w="7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97" w:hRule="atLeast"/>
        </w:trPr>
        <w:tc>
          <w:tcPr>
            <w:tcW w:w="6993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Calibri" w:hAnsi="Calibri" w:eastAsia="Calibri"/>
                <w:b/>
                <w:b/>
                <w:kern w:val="2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b/>
                <w:sz w:val="20"/>
                <w:szCs w:val="20"/>
                <w:lang w:eastAsia="en-US"/>
              </w:rPr>
              <w:t>Zajęcia o charakterze kształtującym umiejętności praktyczne (1.2 – 1.4, 2.2 i 2.5)</w:t>
            </w:r>
          </w:p>
        </w:tc>
        <w:tc>
          <w:tcPr>
            <w:tcW w:w="295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Calibri" w:hAnsi="Calibri" w:eastAsia="Calibri"/>
                <w:b/>
                <w:b/>
                <w:kern w:val="2"/>
                <w:sz w:val="20"/>
                <w:szCs w:val="20"/>
                <w:lang w:eastAsia="en-US"/>
              </w:rPr>
            </w:pPr>
            <w:r>
              <w:rPr/>
            </w:r>
          </w:p>
        </w:tc>
        <w:tc>
          <w:tcPr>
            <w:tcW w:w="7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97" w:hRule="atLeast"/>
        </w:trPr>
        <w:tc>
          <w:tcPr>
            <w:tcW w:w="6993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Calibri" w:hAnsi="Calibri" w:eastAsia="Calibri"/>
                <w:b/>
                <w:b/>
                <w:kern w:val="2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b/>
                <w:sz w:val="20"/>
                <w:szCs w:val="20"/>
                <w:lang w:eastAsia="en-US"/>
              </w:rPr>
              <w:t>Praktyka zawodowa</w:t>
            </w:r>
          </w:p>
        </w:tc>
        <w:tc>
          <w:tcPr>
            <w:tcW w:w="295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Calibri" w:hAnsi="Calibri" w:eastAsia="Calibri"/>
                <w:b/>
                <w:b/>
                <w:kern w:val="2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b/>
                <w:kern w:val="2"/>
                <w:sz w:val="20"/>
                <w:szCs w:val="20"/>
                <w:lang w:eastAsia="en-US"/>
              </w:rPr>
            </w:r>
          </w:p>
        </w:tc>
        <w:tc>
          <w:tcPr>
            <w:tcW w:w="7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97" w:hRule="atLeast"/>
        </w:trPr>
        <w:tc>
          <w:tcPr>
            <w:tcW w:w="6993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Calibri" w:hAnsi="Calibri" w:eastAsia="Calibri"/>
                <w:b/>
                <w:b/>
                <w:kern w:val="2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b/>
                <w:sz w:val="20"/>
                <w:szCs w:val="20"/>
                <w:lang w:eastAsia="en-US"/>
              </w:rPr>
              <w:t>Łączny nakład pracy związany z zajęciami o charakterze kształtującym umiejętności praktyczne</w:t>
            </w:r>
          </w:p>
        </w:tc>
        <w:tc>
          <w:tcPr>
            <w:tcW w:w="295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Calibri" w:hAnsi="Calibri" w:eastAsia="Calibri"/>
                <w:b/>
                <w:b/>
                <w:kern w:val="2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b/>
                <w:kern w:val="2"/>
                <w:sz w:val="20"/>
                <w:szCs w:val="20"/>
                <w:lang w:eastAsia="en-US"/>
              </w:rPr>
            </w:r>
          </w:p>
        </w:tc>
        <w:tc>
          <w:tcPr>
            <w:tcW w:w="7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97" w:hRule="atLeast"/>
        </w:trPr>
        <w:tc>
          <w:tcPr>
            <w:tcW w:w="6993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Calibri" w:hAnsi="Calibri" w:eastAsia="Calibri"/>
                <w:kern w:val="2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b/>
                <w:sz w:val="20"/>
                <w:szCs w:val="20"/>
                <w:lang w:eastAsia="en-US"/>
              </w:rPr>
              <w:t>Liczba punktów ECTS, uzyskiwanych przez studenta w ramach zajęć o charakterze kształtującym umiejętności praktyczne</w:t>
            </w:r>
          </w:p>
          <w:p>
            <w:pPr>
              <w:pStyle w:val="Normal"/>
              <w:rPr>
                <w:rFonts w:ascii="Calibri" w:hAnsi="Calibri" w:eastAsia="Calibri"/>
                <w:b/>
                <w:b/>
                <w:kern w:val="2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  <w:t>(1 pkt ECTS = 25 godzin obciążenia studenta, zaokrąglić do 0,1 pkt ECTS)</w:t>
            </w:r>
          </w:p>
        </w:tc>
        <w:tc>
          <w:tcPr>
            <w:tcW w:w="295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Calibri" w:hAnsi="Calibri" w:eastAsia="Calibri"/>
                <w:b/>
                <w:b/>
                <w:kern w:val="2"/>
                <w:sz w:val="20"/>
                <w:szCs w:val="20"/>
                <w:lang w:eastAsia="en-US"/>
              </w:rPr>
            </w:pPr>
            <w:r>
              <w:rPr/>
            </w:r>
          </w:p>
        </w:tc>
        <w:tc>
          <w:tcPr>
            <w:tcW w:w="7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97" w:hRule="atLeast"/>
        </w:trPr>
        <w:tc>
          <w:tcPr>
            <w:tcW w:w="9952" w:type="dxa"/>
            <w:gridSpan w:val="3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Calibri" w:hAnsi="Calibri" w:eastAsia="Calibri"/>
                <w:b/>
                <w:b/>
                <w:kern w:val="2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b/>
                <w:sz w:val="20"/>
                <w:szCs w:val="20"/>
                <w:lang w:eastAsia="en-US"/>
              </w:rPr>
              <w:t>Uwagi</w:t>
            </w:r>
          </w:p>
        </w:tc>
        <w:tc>
          <w:tcPr>
            <w:tcW w:w="7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21" w:hRule="atLeast"/>
        </w:trPr>
        <w:tc>
          <w:tcPr>
            <w:tcW w:w="9952" w:type="dxa"/>
            <w:gridSpan w:val="3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rPr>
                <w:rFonts w:ascii="Calibri" w:hAnsi="Calibri" w:eastAsia="Calibri"/>
                <w:kern w:val="2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kern w:val="2"/>
                <w:sz w:val="20"/>
                <w:szCs w:val="20"/>
                <w:lang w:eastAsia="en-US"/>
              </w:rPr>
            </w:r>
          </w:p>
        </w:tc>
        <w:tc>
          <w:tcPr>
            <w:tcW w:w="7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97" w:hRule="atLeast"/>
        </w:trPr>
        <w:tc>
          <w:tcPr>
            <w:tcW w:w="22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Calibri" w:hAnsi="Calibri" w:eastAsia="Calibri"/>
                <w:kern w:val="2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  <w:t>Strona internetowa przedmiotu:</w:t>
            </w:r>
          </w:p>
        </w:tc>
        <w:tc>
          <w:tcPr>
            <w:tcW w:w="7742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Calibri" w:hAnsi="Calibri" w:eastAsia="Calibri"/>
                <w:kern w:val="2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kern w:val="2"/>
                <w:sz w:val="20"/>
                <w:szCs w:val="20"/>
                <w:lang w:eastAsia="en-US"/>
              </w:rPr>
            </w:r>
          </w:p>
        </w:tc>
        <w:tc>
          <w:tcPr>
            <w:tcW w:w="7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</w:tbl>
    <w:p>
      <w:pPr>
        <w:pStyle w:val="Normal"/>
        <w:rPr>
          <w:rFonts w:eastAsia="Calibri"/>
          <w:kern w:val="2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eastAsia="en-US"/>
        </w:rPr>
        <w:t>*</w:t>
      </w:r>
      <w:r>
        <w:rPr/>
        <w:t xml:space="preserve"> </w:t>
      </w:r>
      <w:r>
        <w:rPr>
          <w:rFonts w:eastAsia="Calibri"/>
          <w:sz w:val="20"/>
          <w:szCs w:val="20"/>
          <w:lang w:eastAsia="en-US"/>
        </w:rPr>
        <w:t xml:space="preserve">odniesienie kierunkowych efektów uczenia się zgodnych z Ustawą z dnia 22 grudnia 2015 roku </w:t>
      </w:r>
      <w:r>
        <w:rPr>
          <w:rFonts w:eastAsia="Calibri"/>
          <w:i/>
          <w:sz w:val="20"/>
          <w:szCs w:val="20"/>
          <w:lang w:eastAsia="en-US"/>
        </w:rPr>
        <w:t>o Zintegrowanym Systemie Kwalifikacj</w:t>
      </w:r>
      <w:r>
        <w:rPr>
          <w:rFonts w:eastAsia="Calibri"/>
          <w:sz w:val="20"/>
          <w:szCs w:val="20"/>
          <w:lang w:eastAsia="en-US"/>
        </w:rPr>
        <w:t xml:space="preserve">i, t.j. Dz. U. 2018, poz. 2153 oraz z Rozporządzeniem Ministra Nauki i Szkolnictwa Wyższego z dnia 14 listopada 2018 roku </w:t>
      </w:r>
      <w:r>
        <w:rPr>
          <w:rFonts w:eastAsia="Calibri"/>
          <w:i/>
          <w:sz w:val="20"/>
          <w:szCs w:val="20"/>
          <w:lang w:eastAsia="en-US"/>
        </w:rPr>
        <w:t>w sprawie charakterystyk drugiego stopnia uczenia się dla kwalifikacji na poziomach 6-8 Polskiej Ramy Kwalifikacji</w:t>
      </w:r>
      <w:r>
        <w:rPr>
          <w:rFonts w:eastAsia="Calibri"/>
          <w:sz w:val="20"/>
          <w:szCs w:val="20"/>
          <w:lang w:eastAsia="en-US"/>
        </w:rPr>
        <w:t>, Dz. U. 2018, poz. 2218.</w:t>
      </w:r>
    </w:p>
    <w:p>
      <w:pPr>
        <w:pStyle w:val="Normal"/>
        <w:rPr>
          <w:rFonts w:ascii="Calibri" w:hAnsi="Calibri" w:eastAsia="Calibri"/>
          <w:sz w:val="20"/>
          <w:szCs w:val="20"/>
          <w:lang w:eastAsia="en-US"/>
        </w:rPr>
      </w:pPr>
      <w:r>
        <w:rPr>
          <w:rFonts w:eastAsia="Calibri" w:ascii="Calibri" w:hAnsi="Calibri"/>
          <w:sz w:val="20"/>
          <w:szCs w:val="20"/>
          <w:lang w:eastAsia="en-US"/>
        </w:rPr>
      </w:r>
    </w:p>
    <w:p>
      <w:pPr>
        <w:pStyle w:val="Normal"/>
        <w:rPr/>
      </w:pPr>
      <w:r>
        <w:rPr/>
      </w:r>
    </w:p>
    <w:p>
      <w:pPr>
        <w:pStyle w:val="Normal"/>
        <w:rPr>
          <w:rFonts w:ascii="Calibri" w:hAnsi="Calibri" w:eastAsia="Calibri"/>
          <w:sz w:val="20"/>
          <w:szCs w:val="20"/>
          <w:lang w:eastAsia="en-US"/>
        </w:rPr>
      </w:pPr>
      <w:r>
        <w:rPr>
          <w:rFonts w:eastAsia="Calibri" w:ascii="Calibri" w:hAnsi="Calibri"/>
          <w:sz w:val="20"/>
          <w:szCs w:val="20"/>
          <w:lang w:eastAsia="en-US"/>
        </w:rPr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sectPr>
      <w:type w:val="nextPage"/>
      <w:pgSz w:w="11906" w:h="16838"/>
      <w:pgMar w:left="1417" w:right="1417" w:header="0" w:top="1417" w:footer="0" w:bottom="1417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imes New Roman">
    <w:charset w:val="ee"/>
    <w:family w:val="roman"/>
    <w:pitch w:val="variable"/>
  </w:font>
  <w:font w:name="Consolas">
    <w:charset w:val="ee"/>
    <w:family w:val="roman"/>
    <w:pitch w:val="variable"/>
  </w:font>
  <w:font w:name="Courier New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Arial Unicode MS">
    <w:charset w:val="ee"/>
    <w:family w:val="roman"/>
    <w:pitch w:val="variable"/>
  </w:font>
  <w:font w:name="Arial">
    <w:charset w:val="ee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15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hyphenationZone w:val="425"/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uiPriority="0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iPriority="0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825814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eastAsia="ar-SA" w:val="pl-PL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Domylnaczcionkaakapitu1" w:customStyle="1">
    <w:name w:val="Domyślna czcionka akapitu1"/>
    <w:qFormat/>
    <w:rsid w:val="00825814"/>
    <w:rPr/>
  </w:style>
  <w:style w:type="character" w:styleId="TekstprzypisudolnegoZnak" w:customStyle="1">
    <w:name w:val="Tekst przypisu dolnego Znak"/>
    <w:basedOn w:val="DefaultParagraphFont"/>
    <w:link w:val="Tekstprzypisudolnego"/>
    <w:qFormat/>
    <w:rsid w:val="00825814"/>
    <w:rPr>
      <w:rFonts w:ascii="Times New Roman" w:hAnsi="Times New Roman" w:eastAsia="Times New Roman" w:cs="Times New Roman"/>
      <w:sz w:val="24"/>
      <w:szCs w:val="24"/>
      <w:lang w:eastAsia="ar-SA"/>
    </w:rPr>
  </w:style>
  <w:style w:type="character" w:styleId="HTMLwstpniesformatowanyZnak" w:customStyle="1">
    <w:name w:val="HTML - wstępnie sformatowany Znak"/>
    <w:basedOn w:val="DefaultParagraphFont"/>
    <w:uiPriority w:val="99"/>
    <w:semiHidden/>
    <w:qFormat/>
    <w:rsid w:val="00825814"/>
    <w:rPr>
      <w:rFonts w:ascii="Consolas" w:hAnsi="Consolas" w:eastAsia="Times New Roman" w:cs="Consolas"/>
      <w:sz w:val="20"/>
      <w:szCs w:val="20"/>
      <w:lang w:eastAsia="ar-SA"/>
    </w:rPr>
  </w:style>
  <w:style w:type="character" w:styleId="HTMLwstpniesformatowanyZnak1" w:customStyle="1">
    <w:name w:val="HTML - wstępnie sformatowany Znak1"/>
    <w:basedOn w:val="DefaultParagraphFont"/>
    <w:link w:val="HTML-wstpniesformatowany"/>
    <w:semiHidden/>
    <w:qFormat/>
    <w:rsid w:val="00825814"/>
    <w:rPr>
      <w:rFonts w:ascii="Courier New" w:hAnsi="Courier New" w:eastAsia="Times New Roman" w:cs="Courier New"/>
      <w:sz w:val="20"/>
      <w:szCs w:val="20"/>
      <w:lang w:eastAsia="pl-PL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</w:rPr>
  </w:style>
  <w:style w:type="paragraph" w:styleId="Przypisdolny">
    <w:name w:val="Footnote Text"/>
    <w:basedOn w:val="Normal"/>
    <w:link w:val="TekstprzypisudolnegoZnak"/>
    <w:rsid w:val="00825814"/>
    <w:pPr>
      <w:spacing w:before="280" w:after="280"/>
    </w:pPr>
    <w:rPr/>
  </w:style>
  <w:style w:type="paragraph" w:styleId="NormalWeb">
    <w:name w:val="Normal (Web)"/>
    <w:basedOn w:val="Normal"/>
    <w:uiPriority w:val="99"/>
    <w:semiHidden/>
    <w:qFormat/>
    <w:rsid w:val="00825814"/>
    <w:pPr>
      <w:spacing w:before="280" w:after="280"/>
    </w:pPr>
    <w:rPr>
      <w:rFonts w:ascii="Arial Unicode MS" w:hAnsi="Arial Unicode MS" w:eastAsia="Arial Unicode MS" w:cs="Arial Unicode MS"/>
    </w:rPr>
  </w:style>
  <w:style w:type="paragraph" w:styleId="Xl442" w:customStyle="1">
    <w:name w:val="xl442"/>
    <w:basedOn w:val="Normal"/>
    <w:qFormat/>
    <w:rsid w:val="00825814"/>
    <w:pPr>
      <w:suppressAutoHyphens w:val="false"/>
      <w:spacing w:beforeAutospacing="1" w:afterAutospacing="1"/>
    </w:pPr>
    <w:rPr>
      <w:rFonts w:ascii="Arial" w:hAnsi="Arial" w:eastAsia="Arial Unicode MS" w:cs="Arial Unicode MS"/>
      <w:b/>
      <w:bCs/>
      <w:lang w:eastAsia="pl-PL"/>
    </w:rPr>
  </w:style>
  <w:style w:type="paragraph" w:styleId="Zawartotabeli" w:customStyle="1">
    <w:name w:val="Zawartość tabeli"/>
    <w:basedOn w:val="Normal"/>
    <w:qFormat/>
    <w:rsid w:val="00825814"/>
    <w:pPr>
      <w:widowControl w:val="false"/>
      <w:suppressLineNumbers/>
      <w:spacing w:lineRule="atLeast" w:line="100"/>
      <w:textAlignment w:val="baseline"/>
    </w:pPr>
    <w:rPr>
      <w:rFonts w:eastAsia="SimSun"/>
      <w:kern w:val="2"/>
      <w:lang w:eastAsia="zh-CN"/>
    </w:rPr>
  </w:style>
  <w:style w:type="paragraph" w:styleId="HTMLPreformatted">
    <w:name w:val="HTML Preformatted"/>
    <w:basedOn w:val="Normal"/>
    <w:link w:val="HTML-wstpniesformatowanyZnak1"/>
    <w:semiHidden/>
    <w:unhideWhenUsed/>
    <w:qFormat/>
    <w:rsid w:val="00825814"/>
    <w:pPr>
      <w:tabs>
        <w:tab w:val="clear" w:pos="708"/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  <w:suppressAutoHyphens w:val="false"/>
    </w:pPr>
    <w:rPr>
      <w:rFonts w:ascii="Courier New" w:hAnsi="Courier New" w:cs="Courier New"/>
      <w:sz w:val="20"/>
      <w:szCs w:val="20"/>
      <w:lang w:eastAsia="pl-PL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1437</TotalTime>
  <Application>LibreOffice/6.4.6.2$Windows_X86_64 LibreOffice_project/0ce51a4fd21bff07a5c061082cc82c5ed232f115</Application>
  <Pages>4</Pages>
  <Words>1212</Words>
  <Characters>8273</Characters>
  <CharactersWithSpaces>9299</CharactersWithSpaces>
  <Paragraphs>210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2023-02-16T19:30:00Z</dcterms:created>
  <dc:creator>MK</dc:creator>
  <dc:description/>
  <dc:language>pl-PL</dc:language>
  <cp:lastModifiedBy/>
  <dcterms:modified xsi:type="dcterms:W3CDTF">2023-02-23T22:27:52Z</dcterms:modified>
  <cp:revision>15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